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DC2B" w14:textId="77777777" w:rsidR="00630BFC" w:rsidRDefault="00630BFC"/>
    <w:p w14:paraId="3A0B1DE9" w14:textId="77777777" w:rsidR="00061A7C" w:rsidRDefault="00061A7C" w:rsidP="00061A7C">
      <w:pPr>
        <w:jc w:val="center"/>
        <w:rPr>
          <w:noProof/>
        </w:rPr>
      </w:pPr>
    </w:p>
    <w:p w14:paraId="578747A3" w14:textId="77777777" w:rsidR="00061A7C" w:rsidRDefault="00061A7C" w:rsidP="00061A7C">
      <w:pPr>
        <w:jc w:val="center"/>
        <w:rPr>
          <w:noProof/>
        </w:rPr>
      </w:pPr>
    </w:p>
    <w:p w14:paraId="7BD429CE" w14:textId="77777777" w:rsidR="00061A7C" w:rsidRDefault="00061A7C" w:rsidP="00061A7C">
      <w:pPr>
        <w:jc w:val="center"/>
        <w:rPr>
          <w:noProof/>
        </w:rPr>
      </w:pPr>
    </w:p>
    <w:p w14:paraId="1554ABC4" w14:textId="77777777" w:rsidR="00061A7C" w:rsidRDefault="00061A7C" w:rsidP="00061A7C">
      <w:pPr>
        <w:jc w:val="center"/>
        <w:rPr>
          <w:noProof/>
        </w:rPr>
      </w:pPr>
    </w:p>
    <w:p w14:paraId="6C4E2F47" w14:textId="77777777" w:rsidR="00061A7C" w:rsidRDefault="00061A7C" w:rsidP="00061A7C">
      <w:pPr>
        <w:tabs>
          <w:tab w:val="left" w:pos="3390"/>
        </w:tabs>
        <w:jc w:val="center"/>
        <w:rPr>
          <w:noProof/>
        </w:rPr>
      </w:pPr>
      <w:r>
        <w:rPr>
          <w:noProof/>
          <w:lang w:eastAsia="hr-HR"/>
        </w:rPr>
        <w:drawing>
          <wp:inline distT="0" distB="0" distL="0" distR="0" wp14:anchorId="0F5BD987" wp14:editId="51B4D6D9">
            <wp:extent cx="962104" cy="13407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a:extLst>
                        <a:ext uri="{28A0092B-C50C-407E-A947-70E740481C1C}">
                          <a14:useLocalDpi xmlns:a14="http://schemas.microsoft.com/office/drawing/2010/main" val="0"/>
                        </a:ext>
                      </a:extLst>
                    </a:blip>
                    <a:stretch>
                      <a:fillRect/>
                    </a:stretch>
                  </pic:blipFill>
                  <pic:spPr>
                    <a:xfrm>
                      <a:off x="0" y="0"/>
                      <a:ext cx="969632" cy="1351231"/>
                    </a:xfrm>
                    <a:prstGeom prst="rect">
                      <a:avLst/>
                    </a:prstGeom>
                  </pic:spPr>
                </pic:pic>
              </a:graphicData>
            </a:graphic>
          </wp:inline>
        </w:drawing>
      </w:r>
    </w:p>
    <w:p w14:paraId="0E78B606" w14:textId="77777777" w:rsidR="00061A7C" w:rsidRDefault="00061A7C" w:rsidP="00061A7C">
      <w:pPr>
        <w:jc w:val="center"/>
      </w:pPr>
    </w:p>
    <w:p w14:paraId="47EBC824" w14:textId="77777777" w:rsidR="00061A7C" w:rsidRDefault="00061A7C" w:rsidP="00061A7C"/>
    <w:p w14:paraId="3B69DD41" w14:textId="77777777" w:rsidR="00061A7C" w:rsidRPr="00786A96" w:rsidRDefault="00061A7C" w:rsidP="00061A7C">
      <w:pPr>
        <w:rPr>
          <w:sz w:val="40"/>
          <w:szCs w:val="40"/>
        </w:rPr>
      </w:pPr>
    </w:p>
    <w:p w14:paraId="6759C7B9" w14:textId="77777777" w:rsidR="00061A7C" w:rsidRPr="00786A96" w:rsidRDefault="00061A7C" w:rsidP="00786A96">
      <w:pPr>
        <w:jc w:val="center"/>
        <w:rPr>
          <w:noProof/>
          <w:sz w:val="40"/>
          <w:szCs w:val="40"/>
        </w:rPr>
      </w:pPr>
      <w:r w:rsidRPr="00786A96">
        <w:rPr>
          <w:noProof/>
          <w:sz w:val="40"/>
          <w:szCs w:val="40"/>
        </w:rPr>
        <w:t>GODIŠNJE IZVJEŠĆE O PROVEDBI PROVEDBENOG PROGRAM</w:t>
      </w:r>
      <w:r w:rsidR="00786A96">
        <w:rPr>
          <w:noProof/>
          <w:sz w:val="40"/>
          <w:szCs w:val="40"/>
        </w:rPr>
        <w:t>A</w:t>
      </w:r>
      <w:r w:rsidRPr="00786A96">
        <w:rPr>
          <w:noProof/>
          <w:sz w:val="40"/>
          <w:szCs w:val="40"/>
        </w:rPr>
        <w:t xml:space="preserve"> GRADA GOSPIĆA ZA MANDATNO RAZDOBLJE 2021.-2025. GODINE</w:t>
      </w:r>
    </w:p>
    <w:p w14:paraId="7A4FFE7D" w14:textId="77777777" w:rsidR="00061A7C" w:rsidRDefault="00061A7C" w:rsidP="00061A7C"/>
    <w:p w14:paraId="69E2EC08" w14:textId="77777777" w:rsidR="00061A7C" w:rsidRPr="00786A96" w:rsidRDefault="00061A7C" w:rsidP="00061A7C">
      <w:pPr>
        <w:ind w:firstLine="708"/>
        <w:rPr>
          <w:sz w:val="36"/>
          <w:szCs w:val="36"/>
        </w:rPr>
      </w:pPr>
      <w:r w:rsidRPr="00786A96">
        <w:rPr>
          <w:sz w:val="36"/>
          <w:szCs w:val="36"/>
        </w:rPr>
        <w:t>Izvještajno razdoblje:</w:t>
      </w:r>
      <w:r w:rsidR="001900B1">
        <w:rPr>
          <w:sz w:val="36"/>
          <w:szCs w:val="36"/>
        </w:rPr>
        <w:t xml:space="preserve"> </w:t>
      </w:r>
      <w:r w:rsidRPr="00786A96">
        <w:rPr>
          <w:sz w:val="36"/>
          <w:szCs w:val="36"/>
        </w:rPr>
        <w:t>1. siječnja – 3</w:t>
      </w:r>
      <w:r w:rsidR="005A1E9B">
        <w:rPr>
          <w:sz w:val="36"/>
          <w:szCs w:val="36"/>
        </w:rPr>
        <w:t>1. prosinca</w:t>
      </w:r>
      <w:r w:rsidRPr="00786A96">
        <w:rPr>
          <w:sz w:val="36"/>
          <w:szCs w:val="36"/>
        </w:rPr>
        <w:t xml:space="preserve"> 2022.</w:t>
      </w:r>
      <w:r w:rsidR="001900B1">
        <w:rPr>
          <w:sz w:val="36"/>
          <w:szCs w:val="36"/>
        </w:rPr>
        <w:t xml:space="preserve"> </w:t>
      </w:r>
    </w:p>
    <w:p w14:paraId="4185DB07" w14:textId="77777777" w:rsidR="00061A7C" w:rsidRPr="00061A7C" w:rsidRDefault="00061A7C" w:rsidP="00061A7C"/>
    <w:p w14:paraId="47307981" w14:textId="77777777" w:rsidR="00061A7C" w:rsidRPr="00061A7C" w:rsidRDefault="00061A7C" w:rsidP="003C6B53">
      <w:pPr>
        <w:jc w:val="center"/>
      </w:pPr>
      <w:r w:rsidRPr="00061A7C">
        <w:t>Nositelj izrade: Grad Gospić</w:t>
      </w:r>
    </w:p>
    <w:p w14:paraId="29B21B2A" w14:textId="77777777" w:rsidR="00061A7C" w:rsidRDefault="00061A7C" w:rsidP="00061A7C"/>
    <w:p w14:paraId="30C8D0CF" w14:textId="77777777" w:rsidR="00061A7C" w:rsidRDefault="00061A7C" w:rsidP="00061A7C"/>
    <w:p w14:paraId="22FF51AB" w14:textId="77777777" w:rsidR="00061A7C" w:rsidRDefault="00061A7C" w:rsidP="00061A7C"/>
    <w:p w14:paraId="37ECD700" w14:textId="77777777" w:rsidR="00061A7C" w:rsidRDefault="00061A7C" w:rsidP="00061A7C"/>
    <w:p w14:paraId="1400F897" w14:textId="77777777" w:rsidR="00061A7C" w:rsidRDefault="00061A7C" w:rsidP="00061A7C"/>
    <w:p w14:paraId="044D6751" w14:textId="77777777" w:rsidR="00C54DB4" w:rsidRDefault="00C54DB4"/>
    <w:p w14:paraId="28813338" w14:textId="77777777" w:rsidR="001834EF" w:rsidRDefault="008661DB" w:rsidP="008661DB">
      <w:pPr>
        <w:jc w:val="center"/>
      </w:pPr>
      <w:r w:rsidRPr="00786A96">
        <w:t>Gospić</w:t>
      </w:r>
      <w:r w:rsidRPr="003B4F37">
        <w:t xml:space="preserve">, </w:t>
      </w:r>
      <w:r w:rsidR="005A1E9B">
        <w:t xml:space="preserve">siječanj </w:t>
      </w:r>
      <w:r w:rsidRPr="003B4F37">
        <w:t>202</w:t>
      </w:r>
      <w:r w:rsidR="005A1E9B">
        <w:t>3</w:t>
      </w:r>
      <w:r w:rsidRPr="003B4F37">
        <w:t>. godine</w:t>
      </w:r>
    </w:p>
    <w:p w14:paraId="7F96A5EF" w14:textId="77777777" w:rsidR="00204D6E" w:rsidRDefault="00204D6E" w:rsidP="008661DB">
      <w:pPr>
        <w:jc w:val="center"/>
      </w:pPr>
    </w:p>
    <w:p w14:paraId="5168C3AD" w14:textId="77777777" w:rsidR="00204D6E" w:rsidRDefault="00204D6E" w:rsidP="008661DB">
      <w:pPr>
        <w:jc w:val="center"/>
      </w:pPr>
    </w:p>
    <w:sdt>
      <w:sdtPr>
        <w:rPr>
          <w:rFonts w:asciiTheme="minorHAnsi" w:eastAsiaTheme="minorHAnsi" w:hAnsiTheme="minorHAnsi" w:cstheme="minorBidi"/>
          <w:color w:val="auto"/>
          <w:sz w:val="22"/>
          <w:szCs w:val="22"/>
          <w:lang w:eastAsia="en-US"/>
        </w:rPr>
        <w:id w:val="-415164543"/>
        <w:docPartObj>
          <w:docPartGallery w:val="Table of Contents"/>
          <w:docPartUnique/>
        </w:docPartObj>
      </w:sdtPr>
      <w:sdtEndPr>
        <w:rPr>
          <w:b/>
          <w:bCs/>
        </w:rPr>
      </w:sdtEndPr>
      <w:sdtContent>
        <w:p w14:paraId="3B279572" w14:textId="77777777" w:rsidR="001834EF" w:rsidRDefault="001834EF" w:rsidP="00444E74">
          <w:pPr>
            <w:pStyle w:val="TOCNaslov"/>
            <w:spacing w:line="480" w:lineRule="auto"/>
          </w:pPr>
          <w:r>
            <w:t>Sadržaj</w:t>
          </w:r>
        </w:p>
        <w:p w14:paraId="789D08D5" w14:textId="5C06E747" w:rsidR="002D7303" w:rsidRDefault="00E50507" w:rsidP="00444E74">
          <w:pPr>
            <w:pStyle w:val="Sadraj1"/>
            <w:tabs>
              <w:tab w:val="left" w:pos="440"/>
              <w:tab w:val="right" w:leader="dot" w:pos="9016"/>
            </w:tabs>
            <w:spacing w:line="480" w:lineRule="auto"/>
            <w:rPr>
              <w:rFonts w:eastAsiaTheme="minorEastAsia"/>
              <w:noProof/>
              <w:lang w:eastAsia="hr-HR"/>
            </w:rPr>
          </w:pPr>
          <w:r>
            <w:fldChar w:fldCharType="begin"/>
          </w:r>
          <w:r w:rsidR="001834EF">
            <w:instrText xml:space="preserve"> TOC \o "1-3" \h \z \u </w:instrText>
          </w:r>
          <w:r>
            <w:fldChar w:fldCharType="separate"/>
          </w:r>
          <w:hyperlink w:anchor="_Toc108693281" w:history="1">
            <w:r w:rsidR="002D7303" w:rsidRPr="005C7C10">
              <w:rPr>
                <w:rStyle w:val="Hiperveza"/>
                <w:noProof/>
              </w:rPr>
              <w:t>1.</w:t>
            </w:r>
            <w:r w:rsidR="002D7303">
              <w:rPr>
                <w:rFonts w:eastAsiaTheme="minorEastAsia"/>
                <w:noProof/>
                <w:lang w:eastAsia="hr-HR"/>
              </w:rPr>
              <w:tab/>
            </w:r>
            <w:r w:rsidR="002D7303" w:rsidRPr="005C7C10">
              <w:rPr>
                <w:rStyle w:val="Hiperveza"/>
                <w:noProof/>
              </w:rPr>
              <w:t>PREGLED STANJA U UPRAVNOM PODRUČJU</w:t>
            </w:r>
            <w:r w:rsidR="002D7303">
              <w:rPr>
                <w:noProof/>
                <w:webHidden/>
              </w:rPr>
              <w:tab/>
            </w:r>
            <w:r>
              <w:rPr>
                <w:noProof/>
                <w:webHidden/>
              </w:rPr>
              <w:fldChar w:fldCharType="begin"/>
            </w:r>
            <w:r w:rsidR="002D7303">
              <w:rPr>
                <w:noProof/>
                <w:webHidden/>
              </w:rPr>
              <w:instrText xml:space="preserve"> PAGEREF _Toc108693281 \h </w:instrText>
            </w:r>
            <w:r>
              <w:rPr>
                <w:noProof/>
                <w:webHidden/>
              </w:rPr>
            </w:r>
            <w:r>
              <w:rPr>
                <w:noProof/>
                <w:webHidden/>
              </w:rPr>
              <w:fldChar w:fldCharType="separate"/>
            </w:r>
            <w:r w:rsidR="00302123">
              <w:rPr>
                <w:noProof/>
                <w:webHidden/>
              </w:rPr>
              <w:t>3</w:t>
            </w:r>
            <w:r>
              <w:rPr>
                <w:noProof/>
                <w:webHidden/>
              </w:rPr>
              <w:fldChar w:fldCharType="end"/>
            </w:r>
          </w:hyperlink>
        </w:p>
        <w:p w14:paraId="3B68CC17" w14:textId="3471671D" w:rsidR="002D7303" w:rsidRDefault="00000000" w:rsidP="00444E74">
          <w:pPr>
            <w:pStyle w:val="Sadraj1"/>
            <w:tabs>
              <w:tab w:val="left" w:pos="440"/>
              <w:tab w:val="right" w:leader="dot" w:pos="9016"/>
            </w:tabs>
            <w:spacing w:line="480" w:lineRule="auto"/>
            <w:rPr>
              <w:rFonts w:eastAsiaTheme="minorEastAsia"/>
              <w:noProof/>
              <w:lang w:eastAsia="hr-HR"/>
            </w:rPr>
          </w:pPr>
          <w:hyperlink w:anchor="_Toc108693282" w:history="1">
            <w:r w:rsidR="002D7303" w:rsidRPr="005C7C10">
              <w:rPr>
                <w:rStyle w:val="Hiperveza"/>
                <w:noProof/>
              </w:rPr>
              <w:t>2.</w:t>
            </w:r>
            <w:r w:rsidR="002D7303">
              <w:rPr>
                <w:rFonts w:eastAsiaTheme="minorEastAsia"/>
                <w:noProof/>
                <w:lang w:eastAsia="hr-HR"/>
              </w:rPr>
              <w:tab/>
            </w:r>
            <w:r w:rsidR="002D7303" w:rsidRPr="005C7C10">
              <w:rPr>
                <w:rStyle w:val="Hiperveza"/>
                <w:noProof/>
              </w:rPr>
              <w:t>IZVJEŠĆE O NAPRETKU U PROVEDBI MJERA</w:t>
            </w:r>
            <w:r w:rsidR="002D7303">
              <w:rPr>
                <w:noProof/>
                <w:webHidden/>
              </w:rPr>
              <w:tab/>
            </w:r>
            <w:r w:rsidR="00E50507">
              <w:rPr>
                <w:noProof/>
                <w:webHidden/>
              </w:rPr>
              <w:fldChar w:fldCharType="begin"/>
            </w:r>
            <w:r w:rsidR="002D7303">
              <w:rPr>
                <w:noProof/>
                <w:webHidden/>
              </w:rPr>
              <w:instrText xml:space="preserve"> PAGEREF _Toc108693282 \h </w:instrText>
            </w:r>
            <w:r w:rsidR="00E50507">
              <w:rPr>
                <w:noProof/>
                <w:webHidden/>
              </w:rPr>
            </w:r>
            <w:r w:rsidR="00E50507">
              <w:rPr>
                <w:noProof/>
                <w:webHidden/>
              </w:rPr>
              <w:fldChar w:fldCharType="separate"/>
            </w:r>
            <w:r w:rsidR="00302123">
              <w:rPr>
                <w:noProof/>
                <w:webHidden/>
              </w:rPr>
              <w:t>3</w:t>
            </w:r>
            <w:r w:rsidR="00E50507">
              <w:rPr>
                <w:noProof/>
                <w:webHidden/>
              </w:rPr>
              <w:fldChar w:fldCharType="end"/>
            </w:r>
          </w:hyperlink>
        </w:p>
        <w:p w14:paraId="3E6A59CF" w14:textId="3C0C46DC" w:rsidR="002D7303" w:rsidRDefault="00000000" w:rsidP="00444E74">
          <w:pPr>
            <w:pStyle w:val="Sadraj1"/>
            <w:tabs>
              <w:tab w:val="left" w:pos="440"/>
              <w:tab w:val="right" w:leader="dot" w:pos="9016"/>
            </w:tabs>
            <w:spacing w:line="480" w:lineRule="auto"/>
            <w:rPr>
              <w:rFonts w:eastAsiaTheme="minorEastAsia"/>
              <w:noProof/>
              <w:lang w:eastAsia="hr-HR"/>
            </w:rPr>
          </w:pPr>
          <w:hyperlink w:anchor="_Toc108693283" w:history="1">
            <w:r w:rsidR="002D7303" w:rsidRPr="005C7C10">
              <w:rPr>
                <w:rStyle w:val="Hiperveza"/>
                <w:noProof/>
              </w:rPr>
              <w:t>3.</w:t>
            </w:r>
            <w:r w:rsidR="002D7303">
              <w:rPr>
                <w:rFonts w:eastAsiaTheme="minorEastAsia"/>
                <w:noProof/>
                <w:lang w:eastAsia="hr-HR"/>
              </w:rPr>
              <w:tab/>
            </w:r>
            <w:r w:rsidR="002D7303" w:rsidRPr="005C7C10">
              <w:rPr>
                <w:rStyle w:val="Hiperveza"/>
                <w:noProof/>
              </w:rPr>
              <w:t>DOPRINOS OSTVARENJU CILJEVA JAVNIH POLITIKA</w:t>
            </w:r>
            <w:r w:rsidR="002D7303">
              <w:rPr>
                <w:noProof/>
                <w:webHidden/>
              </w:rPr>
              <w:tab/>
            </w:r>
            <w:r w:rsidR="00E50507">
              <w:rPr>
                <w:noProof/>
                <w:webHidden/>
              </w:rPr>
              <w:fldChar w:fldCharType="begin"/>
            </w:r>
            <w:r w:rsidR="002D7303">
              <w:rPr>
                <w:noProof/>
                <w:webHidden/>
              </w:rPr>
              <w:instrText xml:space="preserve"> PAGEREF _Toc108693283 \h </w:instrText>
            </w:r>
            <w:r w:rsidR="00E50507">
              <w:rPr>
                <w:noProof/>
                <w:webHidden/>
              </w:rPr>
            </w:r>
            <w:r w:rsidR="00E50507">
              <w:rPr>
                <w:noProof/>
                <w:webHidden/>
              </w:rPr>
              <w:fldChar w:fldCharType="separate"/>
            </w:r>
            <w:r w:rsidR="00302123">
              <w:rPr>
                <w:noProof/>
                <w:webHidden/>
              </w:rPr>
              <w:t>5</w:t>
            </w:r>
            <w:r w:rsidR="00E50507">
              <w:rPr>
                <w:noProof/>
                <w:webHidden/>
              </w:rPr>
              <w:fldChar w:fldCharType="end"/>
            </w:r>
          </w:hyperlink>
        </w:p>
        <w:p w14:paraId="110430AB" w14:textId="35937F9E" w:rsidR="002D7303" w:rsidRDefault="00000000" w:rsidP="00444E74">
          <w:pPr>
            <w:pStyle w:val="Sadraj1"/>
            <w:tabs>
              <w:tab w:val="left" w:pos="440"/>
              <w:tab w:val="right" w:leader="dot" w:pos="9016"/>
            </w:tabs>
            <w:spacing w:line="480" w:lineRule="auto"/>
            <w:rPr>
              <w:rFonts w:eastAsiaTheme="minorEastAsia"/>
              <w:noProof/>
              <w:lang w:eastAsia="hr-HR"/>
            </w:rPr>
          </w:pPr>
          <w:hyperlink w:anchor="_Toc108693284" w:history="1">
            <w:r w:rsidR="002D7303" w:rsidRPr="005C7C10">
              <w:rPr>
                <w:rStyle w:val="Hiperveza"/>
                <w:noProof/>
              </w:rPr>
              <w:t>4.</w:t>
            </w:r>
            <w:r w:rsidR="002D7303">
              <w:rPr>
                <w:rFonts w:eastAsiaTheme="minorEastAsia"/>
                <w:noProof/>
                <w:lang w:eastAsia="hr-HR"/>
              </w:rPr>
              <w:tab/>
            </w:r>
            <w:r w:rsidR="002D7303" w:rsidRPr="005C7C10">
              <w:rPr>
                <w:rStyle w:val="Hiperveza"/>
                <w:noProof/>
              </w:rPr>
              <w:t>PRILOG 1.</w:t>
            </w:r>
            <w:r w:rsidR="002D7303">
              <w:rPr>
                <w:noProof/>
                <w:webHidden/>
              </w:rPr>
              <w:tab/>
            </w:r>
            <w:r w:rsidR="00E50507">
              <w:rPr>
                <w:noProof/>
                <w:webHidden/>
              </w:rPr>
              <w:fldChar w:fldCharType="begin"/>
            </w:r>
            <w:r w:rsidR="002D7303">
              <w:rPr>
                <w:noProof/>
                <w:webHidden/>
              </w:rPr>
              <w:instrText xml:space="preserve"> PAGEREF _Toc108693284 \h </w:instrText>
            </w:r>
            <w:r w:rsidR="00E50507">
              <w:rPr>
                <w:noProof/>
                <w:webHidden/>
              </w:rPr>
            </w:r>
            <w:r w:rsidR="00E50507">
              <w:rPr>
                <w:noProof/>
                <w:webHidden/>
              </w:rPr>
              <w:fldChar w:fldCharType="separate"/>
            </w:r>
            <w:r w:rsidR="00302123">
              <w:rPr>
                <w:noProof/>
                <w:webHidden/>
              </w:rPr>
              <w:t>8</w:t>
            </w:r>
            <w:r w:rsidR="00E50507">
              <w:rPr>
                <w:noProof/>
                <w:webHidden/>
              </w:rPr>
              <w:fldChar w:fldCharType="end"/>
            </w:r>
          </w:hyperlink>
        </w:p>
        <w:p w14:paraId="68CBDB1F" w14:textId="77777777" w:rsidR="001834EF" w:rsidRDefault="00E50507" w:rsidP="00444E74">
          <w:pPr>
            <w:spacing w:line="480" w:lineRule="auto"/>
          </w:pPr>
          <w:r>
            <w:rPr>
              <w:b/>
              <w:bCs/>
            </w:rPr>
            <w:fldChar w:fldCharType="end"/>
          </w:r>
        </w:p>
      </w:sdtContent>
    </w:sdt>
    <w:p w14:paraId="6FA22DA5" w14:textId="77777777" w:rsidR="001834EF" w:rsidRDefault="001834EF"/>
    <w:p w14:paraId="3BBDF6AC" w14:textId="77777777" w:rsidR="00444E74" w:rsidRDefault="00444E74"/>
    <w:p w14:paraId="01ACF556" w14:textId="77777777" w:rsidR="00444E74" w:rsidRDefault="00444E74"/>
    <w:p w14:paraId="634C9757" w14:textId="77777777" w:rsidR="00444E74" w:rsidRDefault="00444E74"/>
    <w:p w14:paraId="0C56E02B" w14:textId="77777777" w:rsidR="00444E74" w:rsidRDefault="00444E74"/>
    <w:p w14:paraId="7BE289E4" w14:textId="77777777" w:rsidR="00444E74" w:rsidRDefault="00444E74"/>
    <w:p w14:paraId="3CD0D97A" w14:textId="77777777" w:rsidR="00444E74" w:rsidRDefault="00444E74"/>
    <w:p w14:paraId="3333FBA8" w14:textId="77777777" w:rsidR="00444E74" w:rsidRDefault="00444E74"/>
    <w:p w14:paraId="6C4A29CE" w14:textId="77777777" w:rsidR="00444E74" w:rsidRDefault="00444E74"/>
    <w:p w14:paraId="7432B281" w14:textId="77777777" w:rsidR="00444E74" w:rsidRDefault="00444E74"/>
    <w:p w14:paraId="57F6E3A4" w14:textId="77777777" w:rsidR="00444E74" w:rsidRDefault="00444E74"/>
    <w:p w14:paraId="3587F042" w14:textId="77777777" w:rsidR="00444E74" w:rsidRDefault="00444E74"/>
    <w:p w14:paraId="3B18DA1C" w14:textId="77777777" w:rsidR="00444E74" w:rsidRDefault="00444E74"/>
    <w:p w14:paraId="43743E9C" w14:textId="77777777" w:rsidR="00444E74" w:rsidRDefault="00444E74"/>
    <w:p w14:paraId="5D92C9BA" w14:textId="77777777" w:rsidR="00444E74" w:rsidRDefault="00444E74"/>
    <w:p w14:paraId="6351C35A" w14:textId="77777777" w:rsidR="00444E74" w:rsidRDefault="00444E74"/>
    <w:p w14:paraId="52C04B48" w14:textId="77777777" w:rsidR="00444E74" w:rsidRDefault="00444E74"/>
    <w:p w14:paraId="3614DF1A" w14:textId="77777777" w:rsidR="00444E74" w:rsidRDefault="00444E74"/>
    <w:p w14:paraId="59BFA908" w14:textId="77777777" w:rsidR="00444E74" w:rsidRDefault="00444E74"/>
    <w:p w14:paraId="28C487C7" w14:textId="77777777" w:rsidR="00444E74" w:rsidRDefault="00444E74"/>
    <w:p w14:paraId="1699980A" w14:textId="77777777" w:rsidR="00444E74" w:rsidRDefault="00444E74"/>
    <w:p w14:paraId="1D6A7AB2" w14:textId="77777777" w:rsidR="001834EF" w:rsidRDefault="001834EF"/>
    <w:p w14:paraId="18F1C7F2" w14:textId="77777777" w:rsidR="001834EF" w:rsidRDefault="003B4F37" w:rsidP="00BC5499">
      <w:pPr>
        <w:pStyle w:val="Naslov1"/>
        <w:numPr>
          <w:ilvl w:val="0"/>
          <w:numId w:val="1"/>
        </w:numPr>
      </w:pPr>
      <w:bookmarkStart w:id="0" w:name="_Toc108693281"/>
      <w:r>
        <w:t>PREGLED STANJA U UPRAVNOM PODRUČJU</w:t>
      </w:r>
      <w:bookmarkEnd w:id="0"/>
    </w:p>
    <w:p w14:paraId="0E905B1F" w14:textId="77777777" w:rsidR="00231A45" w:rsidRDefault="00231A45" w:rsidP="00BC5499">
      <w:pPr>
        <w:jc w:val="both"/>
        <w:rPr>
          <w:rFonts w:cstheme="minorHAnsi"/>
          <w:sz w:val="24"/>
          <w:szCs w:val="24"/>
        </w:rPr>
      </w:pPr>
    </w:p>
    <w:p w14:paraId="53045D52" w14:textId="77777777" w:rsidR="00444E74" w:rsidRPr="00E41D7A" w:rsidRDefault="00444E74" w:rsidP="0017677C">
      <w:pPr>
        <w:spacing w:line="240" w:lineRule="auto"/>
        <w:jc w:val="both"/>
      </w:pPr>
      <w:r w:rsidRPr="00E41D7A">
        <w:t xml:space="preserve">Provedbeni program je kratkoročni akt strateškog planiranja koji se izrađuje u skladu sa odredbama Zakona o sustavu strateškog planiranja i upravljanja razvojem Republike Hrvatske (,,Narodne novine", broj 123/17.) te Uredbe o smjernicama za izradu akata strateškog planiranja od nacionalnog značaja i od značaja za jedinice lokalne i područne (regionalne) samouprave (,,Narodne novine", broj 89/18.), sa svrhom definiranja provedbe ciljeva usklađenih s hijerarhijski nadređenim aktima strateškog planiranja, a vrijedi za trajanje mandatnog razdoblja čelnika. </w:t>
      </w:r>
    </w:p>
    <w:p w14:paraId="697D014E" w14:textId="77777777" w:rsidR="00991900" w:rsidRPr="00E41D7A" w:rsidRDefault="00444E74" w:rsidP="0017677C">
      <w:pPr>
        <w:spacing w:line="240" w:lineRule="auto"/>
        <w:jc w:val="both"/>
        <w:rPr>
          <w:rFonts w:cstheme="minorHAnsi"/>
        </w:rPr>
      </w:pPr>
      <w:r w:rsidRPr="00E41D7A">
        <w:rPr>
          <w:rFonts w:cstheme="minorHAnsi"/>
        </w:rPr>
        <w:t>Provedbenim programom za mandatno razdoblje 2021.</w:t>
      </w:r>
      <w:r w:rsidR="001900B1">
        <w:rPr>
          <w:rFonts w:cstheme="minorHAnsi"/>
        </w:rPr>
        <w:t>-</w:t>
      </w:r>
      <w:r w:rsidRPr="00E41D7A">
        <w:rPr>
          <w:rFonts w:cstheme="minorHAnsi"/>
        </w:rPr>
        <w:t xml:space="preserve">2025. </w:t>
      </w:r>
      <w:r w:rsidR="00DF227E">
        <w:rPr>
          <w:rFonts w:cstheme="minorHAnsi"/>
        </w:rPr>
        <w:t xml:space="preserve">godine </w:t>
      </w:r>
      <w:r w:rsidRPr="00E41D7A">
        <w:rPr>
          <w:rFonts w:cstheme="minorHAnsi"/>
        </w:rPr>
        <w:t>Grad Gospić je jasno definirao svoje ciljeve, te način za njihovo ostvarenje.</w:t>
      </w:r>
    </w:p>
    <w:p w14:paraId="7BA80A76" w14:textId="77777777" w:rsidR="00204D6E" w:rsidRPr="00E41D7A" w:rsidRDefault="00204D6E" w:rsidP="00BC5499">
      <w:pPr>
        <w:jc w:val="both"/>
        <w:rPr>
          <w:rFonts w:cstheme="minorHAnsi"/>
        </w:rPr>
      </w:pPr>
    </w:p>
    <w:p w14:paraId="78A65E1B" w14:textId="77777777" w:rsidR="002F5335" w:rsidRDefault="003B4F37" w:rsidP="002F5335">
      <w:pPr>
        <w:pStyle w:val="Naslov1"/>
        <w:numPr>
          <w:ilvl w:val="0"/>
          <w:numId w:val="1"/>
        </w:numPr>
      </w:pPr>
      <w:bookmarkStart w:id="1" w:name="_Toc108693282"/>
      <w:r>
        <w:t>IZVJEŠĆE O NAPRETKU U PROVEDBI MJERA</w:t>
      </w:r>
      <w:bookmarkEnd w:id="1"/>
    </w:p>
    <w:p w14:paraId="21751AC9" w14:textId="77777777" w:rsidR="004A01DF" w:rsidRPr="004A01DF" w:rsidRDefault="004A01DF" w:rsidP="004A01DF"/>
    <w:p w14:paraId="249156EE" w14:textId="77777777" w:rsidR="004A593E" w:rsidRPr="003C6B53" w:rsidRDefault="004A593E" w:rsidP="004A593E">
      <w:pPr>
        <w:pStyle w:val="Odlomakpopisa"/>
        <w:numPr>
          <w:ilvl w:val="1"/>
          <w:numId w:val="1"/>
        </w:numPr>
        <w:rPr>
          <w:b/>
          <w:bCs/>
          <w:sz w:val="24"/>
          <w:szCs w:val="24"/>
        </w:rPr>
      </w:pPr>
      <w:r w:rsidRPr="003C6B53">
        <w:rPr>
          <w:b/>
          <w:bCs/>
          <w:sz w:val="24"/>
          <w:szCs w:val="24"/>
        </w:rPr>
        <w:t>Podaci o utrošenim proračunskim sredstvima</w:t>
      </w:r>
    </w:p>
    <w:p w14:paraId="76C0ADFE" w14:textId="77777777" w:rsidR="002F5335" w:rsidRPr="00E41D7A" w:rsidRDefault="002F5335" w:rsidP="00E41D7A">
      <w:pPr>
        <w:spacing w:line="240" w:lineRule="auto"/>
        <w:jc w:val="both"/>
        <w:rPr>
          <w:rFonts w:cstheme="minorHAnsi"/>
        </w:rPr>
      </w:pPr>
      <w:r w:rsidRPr="00E41D7A">
        <w:rPr>
          <w:rFonts w:cstheme="minorHAnsi"/>
        </w:rPr>
        <w:t>Od ukupno 14 Mjera utvrđenih Provedbenim programom Grada Gospića za mandatno razdoblje 2021</w:t>
      </w:r>
      <w:r w:rsidR="001D4F15">
        <w:rPr>
          <w:rFonts w:cstheme="minorHAnsi"/>
        </w:rPr>
        <w:t>.</w:t>
      </w:r>
      <w:r w:rsidRPr="00E41D7A">
        <w:rPr>
          <w:rFonts w:cstheme="minorHAnsi"/>
        </w:rPr>
        <w:t>-2025. godine, tijekom izvještajnog razdoblja od 1. siječnja 2022.- 3</w:t>
      </w:r>
      <w:r w:rsidR="001D4F15">
        <w:rPr>
          <w:rFonts w:cstheme="minorHAnsi"/>
        </w:rPr>
        <w:t>1</w:t>
      </w:r>
      <w:r w:rsidRPr="00E41D7A">
        <w:rPr>
          <w:rFonts w:cstheme="minorHAnsi"/>
        </w:rPr>
        <w:t xml:space="preserve">. </w:t>
      </w:r>
      <w:r w:rsidR="00991900" w:rsidRPr="00E41D7A">
        <w:rPr>
          <w:rFonts w:cstheme="minorHAnsi"/>
        </w:rPr>
        <w:t>prosinca</w:t>
      </w:r>
      <w:r w:rsidRPr="00E41D7A">
        <w:rPr>
          <w:rFonts w:cstheme="minorHAnsi"/>
        </w:rPr>
        <w:t xml:space="preserve"> 2022.g</w:t>
      </w:r>
      <w:r w:rsidR="00DF227E">
        <w:rPr>
          <w:rFonts w:cstheme="minorHAnsi"/>
        </w:rPr>
        <w:t>odine</w:t>
      </w:r>
      <w:r w:rsidRPr="00E41D7A">
        <w:rPr>
          <w:rFonts w:cstheme="minorHAnsi"/>
        </w:rPr>
        <w:t xml:space="preserve">, u </w:t>
      </w:r>
      <w:r w:rsidR="00FA7C95" w:rsidRPr="00E41D7A">
        <w:rPr>
          <w:rFonts w:cstheme="minorHAnsi"/>
        </w:rPr>
        <w:t>13</w:t>
      </w:r>
      <w:r w:rsidRPr="00E41D7A">
        <w:rPr>
          <w:rFonts w:cstheme="minorHAnsi"/>
        </w:rPr>
        <w:t xml:space="preserve"> Mjera započelo se je sa provedbom aktivnosti.</w:t>
      </w:r>
    </w:p>
    <w:p w14:paraId="58DFD8B1" w14:textId="77777777" w:rsidR="006E7557" w:rsidRPr="00E41D7A" w:rsidRDefault="006E7557" w:rsidP="00E41D7A">
      <w:pPr>
        <w:spacing w:line="240" w:lineRule="auto"/>
        <w:jc w:val="both"/>
        <w:rPr>
          <w:rFonts w:cstheme="minorHAnsi"/>
        </w:rPr>
      </w:pPr>
      <w:r w:rsidRPr="00E41D7A">
        <w:rPr>
          <w:rFonts w:cstheme="minorHAnsi"/>
        </w:rPr>
        <w:t>Provedbenim programom je utvrđen i indikativni financijski okvir za praćenje svake od Mjera. Za svaku mjeru naveden je procijenjeni trošak koji je planiran u Proračunu Grada Gospića za 2022.</w:t>
      </w:r>
      <w:r w:rsidR="005148CA">
        <w:rPr>
          <w:rFonts w:cstheme="minorHAnsi"/>
        </w:rPr>
        <w:t xml:space="preserve"> </w:t>
      </w:r>
      <w:r w:rsidRPr="00E41D7A">
        <w:rPr>
          <w:rFonts w:cstheme="minorHAnsi"/>
        </w:rPr>
        <w:t>g</w:t>
      </w:r>
      <w:r w:rsidR="005148CA">
        <w:rPr>
          <w:rFonts w:cstheme="minorHAnsi"/>
        </w:rPr>
        <w:t>odinu</w:t>
      </w:r>
      <w:r w:rsidRPr="00E41D7A">
        <w:rPr>
          <w:rFonts w:cstheme="minorHAnsi"/>
        </w:rPr>
        <w:t>.</w:t>
      </w:r>
    </w:p>
    <w:p w14:paraId="1E88DC0A" w14:textId="77777777" w:rsidR="006E7557" w:rsidRDefault="006E7557" w:rsidP="00E41D7A">
      <w:pPr>
        <w:spacing w:line="240" w:lineRule="auto"/>
      </w:pPr>
    </w:p>
    <w:p w14:paraId="036E2807" w14:textId="77777777" w:rsidR="0017677C" w:rsidRPr="00B24687" w:rsidRDefault="006E7557" w:rsidP="002F5335">
      <w:pPr>
        <w:rPr>
          <w:rFonts w:eastAsiaTheme="majorEastAsia" w:cstheme="minorHAnsi"/>
          <w:color w:val="2F5496" w:themeColor="accent1" w:themeShade="BF"/>
          <w:sz w:val="24"/>
          <w:szCs w:val="24"/>
        </w:rPr>
      </w:pPr>
      <w:r w:rsidRPr="00B24687">
        <w:rPr>
          <w:rFonts w:eastAsiaTheme="majorEastAsia" w:cstheme="minorHAnsi"/>
          <w:color w:val="2F5496" w:themeColor="accent1" w:themeShade="BF"/>
          <w:sz w:val="24"/>
          <w:szCs w:val="24"/>
        </w:rPr>
        <w:t xml:space="preserve">Tablica 1. Prikaz utrošenih </w:t>
      </w:r>
      <w:r w:rsidR="008E7697" w:rsidRPr="00B24687">
        <w:rPr>
          <w:rFonts w:eastAsiaTheme="majorEastAsia" w:cstheme="minorHAnsi"/>
          <w:color w:val="2F5496" w:themeColor="accent1" w:themeShade="BF"/>
          <w:sz w:val="24"/>
          <w:szCs w:val="24"/>
        </w:rPr>
        <w:t xml:space="preserve">proračunskih </w:t>
      </w:r>
      <w:r w:rsidRPr="00B24687">
        <w:rPr>
          <w:rFonts w:eastAsiaTheme="majorEastAsia" w:cstheme="minorHAnsi"/>
          <w:color w:val="2F5496" w:themeColor="accent1" w:themeShade="BF"/>
          <w:sz w:val="24"/>
          <w:szCs w:val="24"/>
        </w:rPr>
        <w:t xml:space="preserve">sredstava </w:t>
      </w:r>
    </w:p>
    <w:tbl>
      <w:tblPr>
        <w:tblStyle w:val="Reetkatablice"/>
        <w:tblW w:w="0" w:type="auto"/>
        <w:tblLook w:val="04A0" w:firstRow="1" w:lastRow="0" w:firstColumn="1" w:lastColumn="0" w:noHBand="0" w:noVBand="1"/>
      </w:tblPr>
      <w:tblGrid>
        <w:gridCol w:w="3859"/>
        <w:gridCol w:w="2769"/>
        <w:gridCol w:w="2388"/>
      </w:tblGrid>
      <w:tr w:rsidR="0017677C" w14:paraId="51B86BF1" w14:textId="77777777" w:rsidTr="0017677C">
        <w:tc>
          <w:tcPr>
            <w:tcW w:w="4245" w:type="dxa"/>
          </w:tcPr>
          <w:p w14:paraId="34025774" w14:textId="77777777" w:rsidR="00E41D7A" w:rsidRDefault="00E41D7A" w:rsidP="0017677C">
            <w:pPr>
              <w:pStyle w:val="Naslov3"/>
              <w:jc w:val="center"/>
              <w:outlineLvl w:val="2"/>
              <w:rPr>
                <w:rFonts w:asciiTheme="minorHAnsi" w:hAnsiTheme="minorHAnsi" w:cstheme="minorHAnsi"/>
                <w:b/>
                <w:bCs/>
                <w:sz w:val="20"/>
                <w:szCs w:val="20"/>
              </w:rPr>
            </w:pPr>
          </w:p>
          <w:p w14:paraId="58E1DED9" w14:textId="77777777" w:rsidR="0017677C" w:rsidRPr="0017677C" w:rsidRDefault="0017677C" w:rsidP="0017677C">
            <w:pPr>
              <w:pStyle w:val="Naslov3"/>
              <w:jc w:val="center"/>
              <w:outlineLvl w:val="2"/>
              <w:rPr>
                <w:rFonts w:asciiTheme="minorHAnsi" w:hAnsiTheme="minorHAnsi" w:cstheme="minorHAnsi"/>
                <w:b/>
                <w:bCs/>
                <w:sz w:val="20"/>
                <w:szCs w:val="20"/>
              </w:rPr>
            </w:pPr>
            <w:r w:rsidRPr="0017677C">
              <w:rPr>
                <w:rFonts w:asciiTheme="minorHAnsi" w:hAnsiTheme="minorHAnsi" w:cstheme="minorHAnsi"/>
                <w:b/>
                <w:bCs/>
                <w:sz w:val="20"/>
                <w:szCs w:val="20"/>
              </w:rPr>
              <w:t>NAZIV MJERE</w:t>
            </w:r>
          </w:p>
        </w:tc>
        <w:tc>
          <w:tcPr>
            <w:tcW w:w="2977" w:type="dxa"/>
          </w:tcPr>
          <w:p w14:paraId="6C2EFF46" w14:textId="77777777" w:rsidR="0017677C" w:rsidRPr="0017677C" w:rsidRDefault="0017677C" w:rsidP="0017677C">
            <w:pPr>
              <w:pStyle w:val="Naslov3"/>
              <w:jc w:val="center"/>
              <w:outlineLvl w:val="2"/>
              <w:rPr>
                <w:rFonts w:asciiTheme="minorHAnsi" w:hAnsiTheme="minorHAnsi" w:cstheme="minorHAnsi"/>
                <w:b/>
                <w:bCs/>
                <w:sz w:val="20"/>
                <w:szCs w:val="20"/>
              </w:rPr>
            </w:pPr>
            <w:r w:rsidRPr="0017677C">
              <w:rPr>
                <w:rFonts w:asciiTheme="minorHAnsi" w:hAnsiTheme="minorHAnsi" w:cstheme="minorHAnsi"/>
                <w:b/>
                <w:bCs/>
                <w:sz w:val="20"/>
                <w:szCs w:val="20"/>
              </w:rPr>
              <w:t xml:space="preserve">PROCIJENJENI TROŠAK PROVEDBE MJERE ZA MANDATNO RAZDOBLJE </w:t>
            </w:r>
          </w:p>
        </w:tc>
        <w:tc>
          <w:tcPr>
            <w:tcW w:w="2551" w:type="dxa"/>
          </w:tcPr>
          <w:p w14:paraId="62041577" w14:textId="77777777" w:rsidR="0017677C" w:rsidRPr="0017677C" w:rsidRDefault="0017677C" w:rsidP="0017677C">
            <w:pPr>
              <w:pStyle w:val="Naslov3"/>
              <w:jc w:val="center"/>
              <w:outlineLvl w:val="2"/>
              <w:rPr>
                <w:rFonts w:asciiTheme="minorHAnsi" w:hAnsiTheme="minorHAnsi" w:cstheme="minorHAnsi"/>
                <w:b/>
                <w:bCs/>
                <w:sz w:val="20"/>
                <w:szCs w:val="20"/>
              </w:rPr>
            </w:pPr>
            <w:r w:rsidRPr="0017677C">
              <w:rPr>
                <w:rFonts w:asciiTheme="minorHAnsi" w:hAnsiTheme="minorHAnsi" w:cstheme="minorHAnsi"/>
                <w:b/>
                <w:bCs/>
                <w:sz w:val="20"/>
                <w:szCs w:val="20"/>
              </w:rPr>
              <w:t>IZNOS UTROŠENIH SREDSTAVA ZA IZVJEŠTAJNO RAZDOBLJE</w:t>
            </w:r>
          </w:p>
        </w:tc>
      </w:tr>
      <w:tr w:rsidR="0017677C" w14:paraId="5CFDE0A8" w14:textId="77777777" w:rsidTr="0017677C">
        <w:tc>
          <w:tcPr>
            <w:tcW w:w="4245" w:type="dxa"/>
          </w:tcPr>
          <w:p w14:paraId="2B11E41A" w14:textId="77777777" w:rsidR="0017677C" w:rsidRPr="0017677C" w:rsidRDefault="0017677C" w:rsidP="002F5335">
            <w:r w:rsidRPr="0017677C">
              <w:t>Mjera 1. Uređenje naselja i stanovanje</w:t>
            </w:r>
          </w:p>
        </w:tc>
        <w:tc>
          <w:tcPr>
            <w:tcW w:w="2977" w:type="dxa"/>
          </w:tcPr>
          <w:p w14:paraId="68689455" w14:textId="77777777" w:rsidR="0017677C" w:rsidRPr="0017677C" w:rsidRDefault="0017677C" w:rsidP="0017677C">
            <w:pPr>
              <w:jc w:val="right"/>
              <w:rPr>
                <w:rFonts w:cstheme="minorHAnsi"/>
                <w:sz w:val="20"/>
                <w:szCs w:val="20"/>
              </w:rPr>
            </w:pPr>
            <w:r w:rsidRPr="0017677C">
              <w:rPr>
                <w:rFonts w:cstheme="minorHAnsi"/>
                <w:sz w:val="20"/>
                <w:szCs w:val="20"/>
              </w:rPr>
              <w:t>500.000,00 kn</w:t>
            </w:r>
          </w:p>
        </w:tc>
        <w:tc>
          <w:tcPr>
            <w:tcW w:w="2551" w:type="dxa"/>
          </w:tcPr>
          <w:p w14:paraId="0F0F6762" w14:textId="77777777" w:rsidR="0017677C" w:rsidRPr="00490507" w:rsidRDefault="00490507" w:rsidP="00490507">
            <w:pPr>
              <w:jc w:val="right"/>
              <w:rPr>
                <w:rFonts w:cstheme="minorHAnsi"/>
                <w:sz w:val="20"/>
                <w:szCs w:val="20"/>
              </w:rPr>
            </w:pPr>
            <w:r w:rsidRPr="00490507">
              <w:rPr>
                <w:rFonts w:cstheme="minorHAnsi"/>
                <w:sz w:val="20"/>
                <w:szCs w:val="20"/>
              </w:rPr>
              <w:t>174.135,00 kn</w:t>
            </w:r>
          </w:p>
        </w:tc>
      </w:tr>
      <w:tr w:rsidR="0017677C" w14:paraId="41C43C89" w14:textId="77777777" w:rsidTr="0017677C">
        <w:tc>
          <w:tcPr>
            <w:tcW w:w="4245" w:type="dxa"/>
          </w:tcPr>
          <w:p w14:paraId="12A086DE" w14:textId="77777777" w:rsidR="0017677C" w:rsidRPr="0017677C" w:rsidRDefault="0017677C" w:rsidP="002F5335">
            <w:r w:rsidRPr="0017677C">
              <w:t>Mjera 2. Prostorno i urbanističko planiranje</w:t>
            </w:r>
          </w:p>
        </w:tc>
        <w:tc>
          <w:tcPr>
            <w:tcW w:w="2977" w:type="dxa"/>
          </w:tcPr>
          <w:p w14:paraId="3362B376" w14:textId="77777777" w:rsidR="0017677C" w:rsidRPr="0017677C" w:rsidRDefault="0017677C" w:rsidP="0017677C">
            <w:pPr>
              <w:jc w:val="right"/>
              <w:rPr>
                <w:rFonts w:cstheme="minorHAnsi"/>
                <w:sz w:val="20"/>
                <w:szCs w:val="20"/>
              </w:rPr>
            </w:pPr>
            <w:r w:rsidRPr="0017677C">
              <w:rPr>
                <w:rFonts w:cstheme="minorHAnsi"/>
                <w:sz w:val="20"/>
                <w:szCs w:val="20"/>
              </w:rPr>
              <w:t>400.000,00 kn</w:t>
            </w:r>
          </w:p>
        </w:tc>
        <w:tc>
          <w:tcPr>
            <w:tcW w:w="2551" w:type="dxa"/>
          </w:tcPr>
          <w:p w14:paraId="6C8B9446" w14:textId="77777777" w:rsidR="0017677C" w:rsidRPr="00490507" w:rsidRDefault="00490507" w:rsidP="00490507">
            <w:pPr>
              <w:jc w:val="right"/>
              <w:rPr>
                <w:rFonts w:cstheme="minorHAnsi"/>
                <w:sz w:val="20"/>
                <w:szCs w:val="20"/>
              </w:rPr>
            </w:pPr>
            <w:r w:rsidRPr="00490507">
              <w:rPr>
                <w:rFonts w:cstheme="minorHAnsi"/>
                <w:sz w:val="20"/>
                <w:szCs w:val="20"/>
              </w:rPr>
              <w:t>54.300,00 kn</w:t>
            </w:r>
          </w:p>
        </w:tc>
      </w:tr>
      <w:tr w:rsidR="0017677C" w14:paraId="555E4978" w14:textId="77777777" w:rsidTr="0017677C">
        <w:tc>
          <w:tcPr>
            <w:tcW w:w="4245" w:type="dxa"/>
          </w:tcPr>
          <w:p w14:paraId="20533E65" w14:textId="77777777" w:rsidR="0017677C" w:rsidRDefault="0017677C" w:rsidP="0017677C">
            <w:pPr>
              <w:rPr>
                <w:rFonts w:cstheme="minorHAnsi"/>
                <w:b/>
                <w:bCs/>
                <w:sz w:val="20"/>
                <w:szCs w:val="20"/>
              </w:rPr>
            </w:pPr>
            <w:r>
              <w:t>Mjera 3. Komunalno gospodarstvo i održavanje javnih prometnica</w:t>
            </w:r>
          </w:p>
        </w:tc>
        <w:tc>
          <w:tcPr>
            <w:tcW w:w="2977" w:type="dxa"/>
          </w:tcPr>
          <w:p w14:paraId="348D6E60" w14:textId="77777777" w:rsidR="0017677C" w:rsidRPr="0017677C" w:rsidRDefault="0017677C" w:rsidP="0017677C">
            <w:pPr>
              <w:jc w:val="right"/>
              <w:rPr>
                <w:rFonts w:cstheme="minorHAnsi"/>
                <w:sz w:val="20"/>
                <w:szCs w:val="20"/>
              </w:rPr>
            </w:pPr>
          </w:p>
          <w:p w14:paraId="30D02FDE" w14:textId="77777777" w:rsidR="0017677C" w:rsidRPr="0017677C" w:rsidRDefault="0017677C" w:rsidP="0017677C">
            <w:pPr>
              <w:jc w:val="right"/>
              <w:rPr>
                <w:rFonts w:cstheme="minorHAnsi"/>
                <w:sz w:val="20"/>
                <w:szCs w:val="20"/>
              </w:rPr>
            </w:pPr>
            <w:r w:rsidRPr="0017677C">
              <w:rPr>
                <w:rFonts w:cstheme="minorHAnsi"/>
                <w:sz w:val="20"/>
                <w:szCs w:val="20"/>
              </w:rPr>
              <w:t>155.420.488,40 kn</w:t>
            </w:r>
          </w:p>
        </w:tc>
        <w:tc>
          <w:tcPr>
            <w:tcW w:w="2551" w:type="dxa"/>
          </w:tcPr>
          <w:p w14:paraId="3DC92D11" w14:textId="77777777" w:rsidR="0017677C" w:rsidRPr="00490507" w:rsidRDefault="0017677C" w:rsidP="00490507">
            <w:pPr>
              <w:jc w:val="right"/>
              <w:rPr>
                <w:rFonts w:cstheme="minorHAnsi"/>
                <w:sz w:val="20"/>
                <w:szCs w:val="20"/>
              </w:rPr>
            </w:pPr>
          </w:p>
          <w:p w14:paraId="69D2C1B6" w14:textId="77777777" w:rsidR="00490507" w:rsidRPr="00490507" w:rsidRDefault="00490507" w:rsidP="00490507">
            <w:pPr>
              <w:jc w:val="right"/>
              <w:rPr>
                <w:rFonts w:cstheme="minorHAnsi"/>
                <w:sz w:val="20"/>
                <w:szCs w:val="20"/>
              </w:rPr>
            </w:pPr>
            <w:r w:rsidRPr="00490507">
              <w:rPr>
                <w:rFonts w:cstheme="minorHAnsi"/>
                <w:sz w:val="20"/>
                <w:szCs w:val="20"/>
              </w:rPr>
              <w:t>1</w:t>
            </w:r>
            <w:r w:rsidR="006D769F">
              <w:rPr>
                <w:rFonts w:cstheme="minorHAnsi"/>
                <w:sz w:val="20"/>
                <w:szCs w:val="20"/>
              </w:rPr>
              <w:t>7.097.226,72</w:t>
            </w:r>
            <w:r w:rsidRPr="00490507">
              <w:rPr>
                <w:rFonts w:cstheme="minorHAnsi"/>
                <w:sz w:val="20"/>
                <w:szCs w:val="20"/>
              </w:rPr>
              <w:t xml:space="preserve"> kn</w:t>
            </w:r>
          </w:p>
        </w:tc>
      </w:tr>
      <w:tr w:rsidR="0017677C" w14:paraId="20D72458" w14:textId="77777777" w:rsidTr="0017677C">
        <w:tc>
          <w:tcPr>
            <w:tcW w:w="4245" w:type="dxa"/>
          </w:tcPr>
          <w:p w14:paraId="1D355F15" w14:textId="77777777" w:rsidR="0017677C" w:rsidRDefault="0017677C" w:rsidP="0017677C">
            <w:pPr>
              <w:rPr>
                <w:rFonts w:cstheme="minorHAnsi"/>
                <w:b/>
                <w:bCs/>
                <w:sz w:val="20"/>
                <w:szCs w:val="20"/>
              </w:rPr>
            </w:pPr>
            <w:r>
              <w:t>Mjera 4. Odgoj, obrazovanje i briga o djeci</w:t>
            </w:r>
          </w:p>
        </w:tc>
        <w:tc>
          <w:tcPr>
            <w:tcW w:w="2977" w:type="dxa"/>
          </w:tcPr>
          <w:p w14:paraId="238D5DFB" w14:textId="77777777" w:rsidR="0017677C" w:rsidRPr="0017677C" w:rsidRDefault="0017677C" w:rsidP="0017677C">
            <w:pPr>
              <w:jc w:val="right"/>
              <w:rPr>
                <w:rFonts w:cstheme="minorHAnsi"/>
                <w:sz w:val="20"/>
                <w:szCs w:val="20"/>
              </w:rPr>
            </w:pPr>
            <w:r w:rsidRPr="0017677C">
              <w:rPr>
                <w:rFonts w:cstheme="minorHAnsi"/>
                <w:sz w:val="20"/>
                <w:szCs w:val="20"/>
              </w:rPr>
              <w:t>74.805.598,00 kn</w:t>
            </w:r>
          </w:p>
        </w:tc>
        <w:tc>
          <w:tcPr>
            <w:tcW w:w="2551" w:type="dxa"/>
          </w:tcPr>
          <w:p w14:paraId="015B2640" w14:textId="77777777" w:rsidR="0017677C" w:rsidRPr="00490507" w:rsidRDefault="00490507" w:rsidP="00490507">
            <w:pPr>
              <w:jc w:val="right"/>
              <w:rPr>
                <w:rFonts w:cstheme="minorHAnsi"/>
                <w:sz w:val="20"/>
                <w:szCs w:val="20"/>
              </w:rPr>
            </w:pPr>
            <w:r w:rsidRPr="00490507">
              <w:rPr>
                <w:rFonts w:cstheme="minorHAnsi"/>
                <w:sz w:val="20"/>
                <w:szCs w:val="20"/>
              </w:rPr>
              <w:t>9.976.600,64 kn</w:t>
            </w:r>
          </w:p>
        </w:tc>
      </w:tr>
      <w:tr w:rsidR="0017677C" w14:paraId="01BEA8E6" w14:textId="77777777" w:rsidTr="0017677C">
        <w:tc>
          <w:tcPr>
            <w:tcW w:w="4245" w:type="dxa"/>
          </w:tcPr>
          <w:p w14:paraId="7899F532" w14:textId="77777777" w:rsidR="0017677C" w:rsidRDefault="0017677C" w:rsidP="0017677C">
            <w:pPr>
              <w:rPr>
                <w:rFonts w:cstheme="minorHAnsi"/>
                <w:b/>
                <w:bCs/>
                <w:sz w:val="20"/>
                <w:szCs w:val="20"/>
              </w:rPr>
            </w:pPr>
            <w:r>
              <w:t>Mjera 5. Socijalna skrb</w:t>
            </w:r>
          </w:p>
        </w:tc>
        <w:tc>
          <w:tcPr>
            <w:tcW w:w="2977" w:type="dxa"/>
          </w:tcPr>
          <w:p w14:paraId="45607178" w14:textId="77777777" w:rsidR="0017677C" w:rsidRPr="0017677C" w:rsidRDefault="0017677C" w:rsidP="0017677C">
            <w:pPr>
              <w:jc w:val="right"/>
              <w:rPr>
                <w:rFonts w:cstheme="minorHAnsi"/>
                <w:sz w:val="20"/>
                <w:szCs w:val="20"/>
              </w:rPr>
            </w:pPr>
            <w:r w:rsidRPr="0017677C">
              <w:rPr>
                <w:rFonts w:cstheme="minorHAnsi"/>
                <w:sz w:val="20"/>
                <w:szCs w:val="20"/>
              </w:rPr>
              <w:t>5.929.520,00 kn</w:t>
            </w:r>
          </w:p>
        </w:tc>
        <w:tc>
          <w:tcPr>
            <w:tcW w:w="2551" w:type="dxa"/>
          </w:tcPr>
          <w:p w14:paraId="1FEDD2DA" w14:textId="77777777" w:rsidR="0017677C" w:rsidRPr="00490507" w:rsidRDefault="00490507" w:rsidP="00490507">
            <w:pPr>
              <w:jc w:val="right"/>
              <w:rPr>
                <w:rFonts w:cstheme="minorHAnsi"/>
                <w:sz w:val="20"/>
                <w:szCs w:val="20"/>
              </w:rPr>
            </w:pPr>
            <w:r w:rsidRPr="00490507">
              <w:rPr>
                <w:rFonts w:cstheme="minorHAnsi"/>
                <w:sz w:val="20"/>
                <w:szCs w:val="20"/>
              </w:rPr>
              <w:t>3.374.039,92 kn</w:t>
            </w:r>
          </w:p>
        </w:tc>
      </w:tr>
      <w:tr w:rsidR="0017677C" w14:paraId="65ADD9A9" w14:textId="77777777" w:rsidTr="0017677C">
        <w:tc>
          <w:tcPr>
            <w:tcW w:w="4245" w:type="dxa"/>
          </w:tcPr>
          <w:p w14:paraId="0A623FC6" w14:textId="77777777" w:rsidR="0017677C" w:rsidRDefault="0017677C" w:rsidP="0017677C">
            <w:pPr>
              <w:rPr>
                <w:rFonts w:cstheme="minorHAnsi"/>
                <w:b/>
                <w:bCs/>
                <w:sz w:val="20"/>
                <w:szCs w:val="20"/>
              </w:rPr>
            </w:pPr>
            <w:r>
              <w:t>Mjera 6. Kultura</w:t>
            </w:r>
          </w:p>
        </w:tc>
        <w:tc>
          <w:tcPr>
            <w:tcW w:w="2977" w:type="dxa"/>
          </w:tcPr>
          <w:p w14:paraId="76353598" w14:textId="77777777" w:rsidR="0017677C" w:rsidRPr="0017677C" w:rsidRDefault="0017677C" w:rsidP="0017677C">
            <w:pPr>
              <w:jc w:val="right"/>
              <w:rPr>
                <w:rFonts w:cstheme="minorHAnsi"/>
                <w:sz w:val="20"/>
                <w:szCs w:val="20"/>
              </w:rPr>
            </w:pPr>
            <w:r w:rsidRPr="0017677C">
              <w:rPr>
                <w:rFonts w:cstheme="minorHAnsi"/>
                <w:sz w:val="20"/>
                <w:szCs w:val="20"/>
              </w:rPr>
              <w:t>92.870.900,00 kn</w:t>
            </w:r>
          </w:p>
        </w:tc>
        <w:tc>
          <w:tcPr>
            <w:tcW w:w="2551" w:type="dxa"/>
          </w:tcPr>
          <w:p w14:paraId="7255EE8F" w14:textId="77777777" w:rsidR="0017677C" w:rsidRPr="00490507" w:rsidRDefault="006D769F" w:rsidP="00490507">
            <w:pPr>
              <w:jc w:val="right"/>
              <w:rPr>
                <w:rFonts w:cstheme="minorHAnsi"/>
                <w:sz w:val="20"/>
                <w:szCs w:val="20"/>
              </w:rPr>
            </w:pPr>
            <w:r>
              <w:rPr>
                <w:rFonts w:cstheme="minorHAnsi"/>
                <w:sz w:val="20"/>
                <w:szCs w:val="20"/>
              </w:rPr>
              <w:t>4.703.379,24 kn</w:t>
            </w:r>
          </w:p>
        </w:tc>
      </w:tr>
      <w:tr w:rsidR="0017677C" w14:paraId="3DCDCC15" w14:textId="77777777" w:rsidTr="0017677C">
        <w:tc>
          <w:tcPr>
            <w:tcW w:w="4245" w:type="dxa"/>
          </w:tcPr>
          <w:p w14:paraId="59841005" w14:textId="77777777" w:rsidR="0017677C" w:rsidRDefault="0017677C" w:rsidP="0017677C">
            <w:pPr>
              <w:rPr>
                <w:rFonts w:cstheme="minorHAnsi"/>
                <w:b/>
                <w:bCs/>
                <w:sz w:val="20"/>
                <w:szCs w:val="20"/>
              </w:rPr>
            </w:pPr>
            <w:r>
              <w:t>Mjera 7. Tjelesna kultura i sport</w:t>
            </w:r>
          </w:p>
        </w:tc>
        <w:tc>
          <w:tcPr>
            <w:tcW w:w="2977" w:type="dxa"/>
          </w:tcPr>
          <w:p w14:paraId="3A6771AC" w14:textId="77777777" w:rsidR="0017677C" w:rsidRPr="0017677C" w:rsidRDefault="0017677C" w:rsidP="0017677C">
            <w:pPr>
              <w:jc w:val="right"/>
              <w:rPr>
                <w:rFonts w:cstheme="minorHAnsi"/>
                <w:sz w:val="20"/>
                <w:szCs w:val="20"/>
              </w:rPr>
            </w:pPr>
            <w:r w:rsidRPr="0017677C">
              <w:rPr>
                <w:rFonts w:cstheme="minorHAnsi"/>
                <w:sz w:val="20"/>
                <w:szCs w:val="20"/>
              </w:rPr>
              <w:t>5.370.000,00 kn</w:t>
            </w:r>
          </w:p>
        </w:tc>
        <w:tc>
          <w:tcPr>
            <w:tcW w:w="2551" w:type="dxa"/>
          </w:tcPr>
          <w:p w14:paraId="2D80B5DE" w14:textId="77777777" w:rsidR="0017677C" w:rsidRPr="00490507" w:rsidRDefault="00490507" w:rsidP="00490507">
            <w:pPr>
              <w:jc w:val="right"/>
              <w:rPr>
                <w:rFonts w:cstheme="minorHAnsi"/>
                <w:sz w:val="20"/>
                <w:szCs w:val="20"/>
              </w:rPr>
            </w:pPr>
            <w:r w:rsidRPr="00490507">
              <w:rPr>
                <w:rFonts w:cstheme="minorHAnsi"/>
                <w:sz w:val="20"/>
                <w:szCs w:val="20"/>
              </w:rPr>
              <w:t>3.507.572,88 kn</w:t>
            </w:r>
          </w:p>
        </w:tc>
      </w:tr>
      <w:tr w:rsidR="0017677C" w14:paraId="1ABC6D57" w14:textId="77777777" w:rsidTr="0017677C">
        <w:tc>
          <w:tcPr>
            <w:tcW w:w="4245" w:type="dxa"/>
          </w:tcPr>
          <w:p w14:paraId="1B1B1194" w14:textId="77777777" w:rsidR="0017677C" w:rsidRDefault="0017677C" w:rsidP="0017677C">
            <w:pPr>
              <w:rPr>
                <w:rFonts w:cstheme="minorHAnsi"/>
                <w:b/>
                <w:bCs/>
                <w:sz w:val="20"/>
                <w:szCs w:val="20"/>
              </w:rPr>
            </w:pPr>
            <w:r>
              <w:t>Mjera 8. Zaštita i unaprjeđenje prirodnog okoliša</w:t>
            </w:r>
          </w:p>
        </w:tc>
        <w:tc>
          <w:tcPr>
            <w:tcW w:w="2977" w:type="dxa"/>
          </w:tcPr>
          <w:p w14:paraId="787E2D55" w14:textId="77777777" w:rsidR="00490507" w:rsidRDefault="00490507" w:rsidP="0017677C">
            <w:pPr>
              <w:jc w:val="right"/>
              <w:rPr>
                <w:rFonts w:cstheme="minorHAnsi"/>
                <w:sz w:val="20"/>
                <w:szCs w:val="20"/>
              </w:rPr>
            </w:pPr>
          </w:p>
          <w:p w14:paraId="1B9E1C87" w14:textId="77777777" w:rsidR="0017677C" w:rsidRPr="0017677C" w:rsidRDefault="0017677C" w:rsidP="0017677C">
            <w:pPr>
              <w:jc w:val="right"/>
              <w:rPr>
                <w:rFonts w:cstheme="minorHAnsi"/>
                <w:sz w:val="20"/>
                <w:szCs w:val="20"/>
              </w:rPr>
            </w:pPr>
            <w:r w:rsidRPr="0017677C">
              <w:rPr>
                <w:rFonts w:cstheme="minorHAnsi"/>
                <w:sz w:val="20"/>
                <w:szCs w:val="20"/>
              </w:rPr>
              <w:t>13.841.631,81 kn</w:t>
            </w:r>
          </w:p>
        </w:tc>
        <w:tc>
          <w:tcPr>
            <w:tcW w:w="2551" w:type="dxa"/>
          </w:tcPr>
          <w:p w14:paraId="1BB92A42" w14:textId="77777777" w:rsidR="0017677C" w:rsidRPr="00490507" w:rsidRDefault="0017677C" w:rsidP="00490507">
            <w:pPr>
              <w:jc w:val="right"/>
              <w:rPr>
                <w:rFonts w:cstheme="minorHAnsi"/>
                <w:sz w:val="20"/>
                <w:szCs w:val="20"/>
              </w:rPr>
            </w:pPr>
          </w:p>
          <w:p w14:paraId="2996D6D5" w14:textId="77777777" w:rsidR="00490507" w:rsidRPr="00490507" w:rsidRDefault="00490507" w:rsidP="00490507">
            <w:pPr>
              <w:jc w:val="right"/>
              <w:rPr>
                <w:rFonts w:cstheme="minorHAnsi"/>
                <w:sz w:val="20"/>
                <w:szCs w:val="20"/>
              </w:rPr>
            </w:pPr>
            <w:r w:rsidRPr="00490507">
              <w:rPr>
                <w:rFonts w:cstheme="minorHAnsi"/>
                <w:sz w:val="20"/>
                <w:szCs w:val="20"/>
              </w:rPr>
              <w:t>6.244.749,25 kn</w:t>
            </w:r>
          </w:p>
        </w:tc>
      </w:tr>
      <w:tr w:rsidR="0017677C" w14:paraId="00914FAD" w14:textId="77777777" w:rsidTr="0017677C">
        <w:tc>
          <w:tcPr>
            <w:tcW w:w="4245" w:type="dxa"/>
          </w:tcPr>
          <w:p w14:paraId="49BB72C7" w14:textId="77777777" w:rsidR="0017677C" w:rsidRDefault="0017677C" w:rsidP="0017677C">
            <w:pPr>
              <w:rPr>
                <w:rFonts w:cstheme="minorHAnsi"/>
                <w:b/>
                <w:bCs/>
                <w:sz w:val="20"/>
                <w:szCs w:val="20"/>
              </w:rPr>
            </w:pPr>
            <w:r>
              <w:t>Mjera 9. Protupožarna i civilna zaštita</w:t>
            </w:r>
          </w:p>
        </w:tc>
        <w:tc>
          <w:tcPr>
            <w:tcW w:w="2977" w:type="dxa"/>
          </w:tcPr>
          <w:p w14:paraId="372F23C5" w14:textId="77777777" w:rsidR="0017677C" w:rsidRPr="0017677C" w:rsidRDefault="0017677C" w:rsidP="0017677C">
            <w:pPr>
              <w:jc w:val="right"/>
              <w:rPr>
                <w:rFonts w:cstheme="minorHAnsi"/>
                <w:sz w:val="20"/>
                <w:szCs w:val="20"/>
              </w:rPr>
            </w:pPr>
            <w:r w:rsidRPr="0017677C">
              <w:rPr>
                <w:rFonts w:cstheme="minorHAnsi"/>
                <w:sz w:val="20"/>
                <w:szCs w:val="20"/>
              </w:rPr>
              <w:t>45.100.000,00 kn</w:t>
            </w:r>
          </w:p>
        </w:tc>
        <w:tc>
          <w:tcPr>
            <w:tcW w:w="2551" w:type="dxa"/>
          </w:tcPr>
          <w:p w14:paraId="267C107D" w14:textId="77777777" w:rsidR="0017677C" w:rsidRPr="00490507" w:rsidRDefault="00490507" w:rsidP="00490507">
            <w:pPr>
              <w:jc w:val="right"/>
              <w:rPr>
                <w:rFonts w:cstheme="minorHAnsi"/>
                <w:sz w:val="20"/>
                <w:szCs w:val="20"/>
              </w:rPr>
            </w:pPr>
            <w:r w:rsidRPr="00490507">
              <w:rPr>
                <w:rFonts w:cstheme="minorHAnsi"/>
                <w:sz w:val="20"/>
                <w:szCs w:val="20"/>
              </w:rPr>
              <w:t>2.885.814,16 kn</w:t>
            </w:r>
          </w:p>
        </w:tc>
      </w:tr>
      <w:tr w:rsidR="0017677C" w14:paraId="6B8A39E3" w14:textId="77777777" w:rsidTr="0017677C">
        <w:tc>
          <w:tcPr>
            <w:tcW w:w="4245" w:type="dxa"/>
          </w:tcPr>
          <w:p w14:paraId="61AA3F2A" w14:textId="77777777" w:rsidR="0017677C" w:rsidRDefault="0017677C" w:rsidP="0017677C">
            <w:pPr>
              <w:rPr>
                <w:rFonts w:cstheme="minorHAnsi"/>
                <w:b/>
                <w:bCs/>
                <w:sz w:val="20"/>
                <w:szCs w:val="20"/>
              </w:rPr>
            </w:pPr>
            <w:r>
              <w:t>Mjera 10. Gospodarstvo</w:t>
            </w:r>
          </w:p>
        </w:tc>
        <w:tc>
          <w:tcPr>
            <w:tcW w:w="2977" w:type="dxa"/>
          </w:tcPr>
          <w:p w14:paraId="5B462B9D" w14:textId="77777777" w:rsidR="0017677C" w:rsidRPr="0017677C" w:rsidRDefault="0017677C" w:rsidP="0017677C">
            <w:pPr>
              <w:jc w:val="right"/>
              <w:rPr>
                <w:rFonts w:cstheme="minorHAnsi"/>
                <w:sz w:val="20"/>
                <w:szCs w:val="20"/>
              </w:rPr>
            </w:pPr>
            <w:r w:rsidRPr="0017677C">
              <w:rPr>
                <w:rFonts w:cstheme="minorHAnsi"/>
                <w:sz w:val="20"/>
                <w:szCs w:val="20"/>
              </w:rPr>
              <w:t>2.515.054,00 kn</w:t>
            </w:r>
          </w:p>
        </w:tc>
        <w:tc>
          <w:tcPr>
            <w:tcW w:w="2551" w:type="dxa"/>
          </w:tcPr>
          <w:p w14:paraId="2E0406EB" w14:textId="77777777" w:rsidR="0017677C" w:rsidRPr="00490507" w:rsidRDefault="00490507" w:rsidP="00490507">
            <w:pPr>
              <w:jc w:val="right"/>
              <w:rPr>
                <w:rFonts w:cstheme="minorHAnsi"/>
                <w:sz w:val="20"/>
                <w:szCs w:val="20"/>
              </w:rPr>
            </w:pPr>
            <w:r w:rsidRPr="00490507">
              <w:rPr>
                <w:rFonts w:cstheme="minorHAnsi"/>
                <w:sz w:val="20"/>
                <w:szCs w:val="20"/>
              </w:rPr>
              <w:t>602.629,86 kn</w:t>
            </w:r>
          </w:p>
        </w:tc>
      </w:tr>
      <w:tr w:rsidR="0017677C" w14:paraId="350B52A0" w14:textId="77777777" w:rsidTr="0017677C">
        <w:tc>
          <w:tcPr>
            <w:tcW w:w="4245" w:type="dxa"/>
          </w:tcPr>
          <w:p w14:paraId="30DBB579" w14:textId="77777777" w:rsidR="0017677C" w:rsidRDefault="0017677C" w:rsidP="0017677C">
            <w:pPr>
              <w:rPr>
                <w:rFonts w:cstheme="minorHAnsi"/>
                <w:b/>
                <w:bCs/>
                <w:sz w:val="20"/>
                <w:szCs w:val="20"/>
              </w:rPr>
            </w:pPr>
            <w:r>
              <w:t>Mjera 11. Poljoprivreda i ruralni razvoj</w:t>
            </w:r>
          </w:p>
        </w:tc>
        <w:tc>
          <w:tcPr>
            <w:tcW w:w="2977" w:type="dxa"/>
          </w:tcPr>
          <w:p w14:paraId="77CDAE1B" w14:textId="77777777" w:rsidR="0017677C" w:rsidRPr="0017677C" w:rsidRDefault="0017677C" w:rsidP="0017677C">
            <w:pPr>
              <w:jc w:val="right"/>
              <w:rPr>
                <w:rFonts w:cstheme="minorHAnsi"/>
                <w:sz w:val="20"/>
                <w:szCs w:val="20"/>
              </w:rPr>
            </w:pPr>
            <w:r w:rsidRPr="0017677C">
              <w:rPr>
                <w:rFonts w:cstheme="minorHAnsi"/>
                <w:sz w:val="20"/>
                <w:szCs w:val="20"/>
              </w:rPr>
              <w:t>1.680.000,00 kn</w:t>
            </w:r>
          </w:p>
        </w:tc>
        <w:tc>
          <w:tcPr>
            <w:tcW w:w="2551" w:type="dxa"/>
          </w:tcPr>
          <w:p w14:paraId="289D4921" w14:textId="77777777" w:rsidR="0017677C" w:rsidRPr="00490507" w:rsidRDefault="00490507" w:rsidP="00490507">
            <w:pPr>
              <w:jc w:val="right"/>
              <w:rPr>
                <w:rFonts w:cstheme="minorHAnsi"/>
                <w:sz w:val="20"/>
                <w:szCs w:val="20"/>
              </w:rPr>
            </w:pPr>
            <w:r w:rsidRPr="00490507">
              <w:rPr>
                <w:rFonts w:cstheme="minorHAnsi"/>
                <w:sz w:val="20"/>
                <w:szCs w:val="20"/>
              </w:rPr>
              <w:t>322.729,50 kn</w:t>
            </w:r>
          </w:p>
        </w:tc>
      </w:tr>
      <w:tr w:rsidR="0017677C" w14:paraId="7FAAC8A1" w14:textId="77777777" w:rsidTr="0017677C">
        <w:tc>
          <w:tcPr>
            <w:tcW w:w="4245" w:type="dxa"/>
          </w:tcPr>
          <w:p w14:paraId="0E6DA396" w14:textId="77777777" w:rsidR="0017677C" w:rsidRDefault="0017677C" w:rsidP="0017677C">
            <w:pPr>
              <w:rPr>
                <w:rFonts w:cstheme="minorHAnsi"/>
                <w:b/>
                <w:bCs/>
                <w:sz w:val="20"/>
                <w:szCs w:val="20"/>
              </w:rPr>
            </w:pPr>
            <w:r>
              <w:t>Mjera 12. Lokalna uprava i administracija</w:t>
            </w:r>
          </w:p>
        </w:tc>
        <w:tc>
          <w:tcPr>
            <w:tcW w:w="2977" w:type="dxa"/>
          </w:tcPr>
          <w:p w14:paraId="1F2974B5" w14:textId="77777777" w:rsidR="0017677C" w:rsidRPr="0017677C" w:rsidRDefault="0017677C" w:rsidP="0017677C">
            <w:pPr>
              <w:jc w:val="right"/>
              <w:rPr>
                <w:rFonts w:cstheme="minorHAnsi"/>
                <w:sz w:val="20"/>
                <w:szCs w:val="20"/>
              </w:rPr>
            </w:pPr>
            <w:r w:rsidRPr="0017677C">
              <w:rPr>
                <w:rFonts w:cstheme="minorHAnsi"/>
                <w:sz w:val="20"/>
                <w:szCs w:val="20"/>
              </w:rPr>
              <w:t>1.797.618,81 kn</w:t>
            </w:r>
          </w:p>
        </w:tc>
        <w:tc>
          <w:tcPr>
            <w:tcW w:w="2551" w:type="dxa"/>
          </w:tcPr>
          <w:p w14:paraId="146EF49C" w14:textId="77777777" w:rsidR="0017677C" w:rsidRPr="00490507" w:rsidRDefault="00490507" w:rsidP="00490507">
            <w:pPr>
              <w:jc w:val="right"/>
              <w:rPr>
                <w:rFonts w:cstheme="minorHAnsi"/>
                <w:sz w:val="20"/>
                <w:szCs w:val="20"/>
              </w:rPr>
            </w:pPr>
            <w:r w:rsidRPr="00490507">
              <w:rPr>
                <w:rFonts w:cstheme="minorHAnsi"/>
                <w:sz w:val="20"/>
                <w:szCs w:val="20"/>
              </w:rPr>
              <w:t>779.947,15 kn</w:t>
            </w:r>
          </w:p>
        </w:tc>
      </w:tr>
      <w:tr w:rsidR="0017677C" w14:paraId="4151D8AF" w14:textId="77777777" w:rsidTr="0017677C">
        <w:tc>
          <w:tcPr>
            <w:tcW w:w="4245" w:type="dxa"/>
          </w:tcPr>
          <w:p w14:paraId="55DFBF06" w14:textId="77777777" w:rsidR="0017677C" w:rsidRDefault="0017677C" w:rsidP="0017677C">
            <w:pPr>
              <w:rPr>
                <w:rFonts w:cstheme="minorHAnsi"/>
                <w:b/>
                <w:bCs/>
                <w:sz w:val="20"/>
                <w:szCs w:val="20"/>
              </w:rPr>
            </w:pPr>
            <w:r>
              <w:t>Mjera 13. Demografija</w:t>
            </w:r>
          </w:p>
        </w:tc>
        <w:tc>
          <w:tcPr>
            <w:tcW w:w="2977" w:type="dxa"/>
          </w:tcPr>
          <w:p w14:paraId="03B030CF" w14:textId="77777777" w:rsidR="0017677C" w:rsidRPr="0017677C" w:rsidRDefault="0017677C" w:rsidP="0017677C">
            <w:pPr>
              <w:jc w:val="right"/>
              <w:rPr>
                <w:rFonts w:cstheme="minorHAnsi"/>
                <w:sz w:val="20"/>
                <w:szCs w:val="20"/>
              </w:rPr>
            </w:pPr>
            <w:r w:rsidRPr="0017677C">
              <w:rPr>
                <w:rFonts w:cstheme="minorHAnsi"/>
                <w:sz w:val="20"/>
                <w:szCs w:val="20"/>
              </w:rPr>
              <w:t>490.000,00 kn</w:t>
            </w:r>
          </w:p>
        </w:tc>
        <w:tc>
          <w:tcPr>
            <w:tcW w:w="2551" w:type="dxa"/>
          </w:tcPr>
          <w:p w14:paraId="194D30B2" w14:textId="77777777" w:rsidR="0017677C" w:rsidRPr="00490507" w:rsidRDefault="006D769F" w:rsidP="00490507">
            <w:pPr>
              <w:jc w:val="right"/>
              <w:rPr>
                <w:rFonts w:cstheme="minorHAnsi"/>
                <w:sz w:val="20"/>
                <w:szCs w:val="20"/>
              </w:rPr>
            </w:pPr>
            <w:r>
              <w:rPr>
                <w:rFonts w:cstheme="minorHAnsi"/>
                <w:sz w:val="20"/>
                <w:szCs w:val="20"/>
              </w:rPr>
              <w:t>289.768.87 kn</w:t>
            </w:r>
          </w:p>
        </w:tc>
      </w:tr>
      <w:tr w:rsidR="0017677C" w14:paraId="49008006" w14:textId="77777777" w:rsidTr="0017677C">
        <w:tc>
          <w:tcPr>
            <w:tcW w:w="4245" w:type="dxa"/>
          </w:tcPr>
          <w:p w14:paraId="7BF27801" w14:textId="77777777" w:rsidR="0017677C" w:rsidRDefault="0017677C" w:rsidP="0017677C">
            <w:pPr>
              <w:rPr>
                <w:rFonts w:cstheme="minorHAnsi"/>
                <w:b/>
                <w:bCs/>
                <w:sz w:val="20"/>
                <w:szCs w:val="20"/>
              </w:rPr>
            </w:pPr>
            <w:r>
              <w:t>Mjera 14. Turizam</w:t>
            </w:r>
          </w:p>
        </w:tc>
        <w:tc>
          <w:tcPr>
            <w:tcW w:w="2977" w:type="dxa"/>
          </w:tcPr>
          <w:p w14:paraId="1FF2B4AD" w14:textId="77777777" w:rsidR="0017677C" w:rsidRPr="0017677C" w:rsidRDefault="0017677C" w:rsidP="0017677C">
            <w:pPr>
              <w:jc w:val="right"/>
              <w:rPr>
                <w:rFonts w:cstheme="minorHAnsi"/>
                <w:sz w:val="20"/>
                <w:szCs w:val="20"/>
              </w:rPr>
            </w:pPr>
            <w:r w:rsidRPr="0017677C">
              <w:rPr>
                <w:rFonts w:cstheme="minorHAnsi"/>
                <w:sz w:val="20"/>
                <w:szCs w:val="20"/>
              </w:rPr>
              <w:t xml:space="preserve">5.564.000,00 kn </w:t>
            </w:r>
          </w:p>
        </w:tc>
        <w:tc>
          <w:tcPr>
            <w:tcW w:w="2551" w:type="dxa"/>
          </w:tcPr>
          <w:p w14:paraId="3D0A237E" w14:textId="77777777" w:rsidR="0017677C" w:rsidRPr="00490507" w:rsidRDefault="00490507" w:rsidP="00490507">
            <w:pPr>
              <w:jc w:val="right"/>
              <w:rPr>
                <w:rFonts w:cstheme="minorHAnsi"/>
                <w:sz w:val="20"/>
                <w:szCs w:val="20"/>
              </w:rPr>
            </w:pPr>
            <w:r w:rsidRPr="00490507">
              <w:rPr>
                <w:rFonts w:cstheme="minorHAnsi"/>
                <w:sz w:val="20"/>
                <w:szCs w:val="20"/>
              </w:rPr>
              <w:t>1.345.032,76 kn</w:t>
            </w:r>
          </w:p>
        </w:tc>
      </w:tr>
    </w:tbl>
    <w:p w14:paraId="333C4B8F" w14:textId="77777777" w:rsidR="0017677C" w:rsidRPr="0084189E" w:rsidRDefault="0017677C" w:rsidP="002F5335">
      <w:pPr>
        <w:rPr>
          <w:rFonts w:cstheme="minorHAnsi"/>
          <w:b/>
          <w:bCs/>
          <w:sz w:val="20"/>
          <w:szCs w:val="20"/>
        </w:rPr>
      </w:pPr>
    </w:p>
    <w:p w14:paraId="2B2B7D93" w14:textId="77777777" w:rsidR="002F5335" w:rsidRPr="003C6B53" w:rsidRDefault="004A593E" w:rsidP="004A593E">
      <w:pPr>
        <w:pStyle w:val="Odlomakpopisa"/>
        <w:numPr>
          <w:ilvl w:val="1"/>
          <w:numId w:val="1"/>
        </w:numPr>
        <w:rPr>
          <w:b/>
          <w:bCs/>
          <w:sz w:val="24"/>
          <w:szCs w:val="24"/>
        </w:rPr>
      </w:pPr>
      <w:r w:rsidRPr="003C6B53">
        <w:rPr>
          <w:b/>
          <w:bCs/>
          <w:sz w:val="24"/>
          <w:szCs w:val="24"/>
        </w:rPr>
        <w:t>Analiza statusa provedbe mjera</w:t>
      </w:r>
    </w:p>
    <w:p w14:paraId="3E7D34F6" w14:textId="77777777" w:rsidR="00AF3AF5" w:rsidRPr="00E41D7A" w:rsidRDefault="004A593E" w:rsidP="00E41D7A">
      <w:pPr>
        <w:spacing w:line="240" w:lineRule="auto"/>
      </w:pPr>
      <w:r w:rsidRPr="00E41D7A">
        <w:t xml:space="preserve">Od ukupno 14 </w:t>
      </w:r>
      <w:r w:rsidR="00162EE7">
        <w:t>M</w:t>
      </w:r>
      <w:r w:rsidRPr="00E41D7A">
        <w:t>jera utvrđenih Provedbenim programom, tijekom izvještajnog razdoblja započela je provedba u 13 Mjera</w:t>
      </w:r>
      <w:r w:rsidR="00487154" w:rsidRPr="00E41D7A">
        <w:t>, 1 Mjera je provedena kako je bilo i planirano</w:t>
      </w:r>
      <w:r w:rsidRPr="00E41D7A">
        <w:t>. Sve aktivnosti imaju status „U TIJEKU“ osim onih čija provedba nije ni planirana u izvještajnom razdoblj</w:t>
      </w:r>
      <w:r w:rsidR="00C74EAF" w:rsidRPr="00E41D7A">
        <w:t>u</w:t>
      </w:r>
      <w:r w:rsidR="004E244A" w:rsidRPr="00E41D7A">
        <w:t xml:space="preserve"> i onih na čiju provedbu </w:t>
      </w:r>
      <w:r w:rsidR="009E4C73">
        <w:t>Grad Gospić nije mogao</w:t>
      </w:r>
      <w:r w:rsidR="004E244A" w:rsidRPr="00E41D7A">
        <w:t xml:space="preserve"> utjecati jer nisu </w:t>
      </w:r>
      <w:r w:rsidR="00AF3AF5" w:rsidRPr="00E41D7A">
        <w:t xml:space="preserve">bili </w:t>
      </w:r>
      <w:r w:rsidR="004E244A" w:rsidRPr="00E41D7A">
        <w:t>raspisani Javni pozivi</w:t>
      </w:r>
      <w:r w:rsidR="00C74EAF" w:rsidRPr="00E41D7A">
        <w:t xml:space="preserve">. </w:t>
      </w:r>
    </w:p>
    <w:p w14:paraId="6465A2EC" w14:textId="77777777" w:rsidR="00E41D7A" w:rsidRDefault="009E4C73" w:rsidP="00E41D7A">
      <w:pPr>
        <w:spacing w:line="240" w:lineRule="auto"/>
      </w:pPr>
      <w:r>
        <w:t xml:space="preserve">Iz opravdanih razloga u </w:t>
      </w:r>
      <w:r w:rsidR="00C74EAF" w:rsidRPr="00E41D7A">
        <w:t>2022. godini odustalo se od provedbe</w:t>
      </w:r>
      <w:r>
        <w:t xml:space="preserve"> projekta </w:t>
      </w:r>
      <w:r w:rsidRPr="00E41D7A">
        <w:t xml:space="preserve">„Radost čitanja“ </w:t>
      </w:r>
      <w:r>
        <w:t>u sklopu kojeg su</w:t>
      </w:r>
      <w:r w:rsidR="005148CA">
        <w:t xml:space="preserve"> </w:t>
      </w:r>
      <w:r w:rsidR="00AF3AF5" w:rsidRPr="00E41D7A">
        <w:t>aktivnosti 6.1. Unaprjeđenje dostupnosti knjižne građe i promicanje čitalačke pismenosti i 6.12. Aktivnosti poticanja čitanja od najranije životne dobi</w:t>
      </w:r>
      <w:r w:rsidR="00C74EAF" w:rsidRPr="00E41D7A">
        <w:t xml:space="preserve">. </w:t>
      </w:r>
    </w:p>
    <w:p w14:paraId="2A28249B" w14:textId="77777777" w:rsidR="00E41D7A" w:rsidRDefault="00E41D7A" w:rsidP="00E41D7A">
      <w:pPr>
        <w:spacing w:line="240" w:lineRule="auto"/>
      </w:pPr>
    </w:p>
    <w:p w14:paraId="61112539" w14:textId="77777777" w:rsidR="004A593E" w:rsidRPr="00B24687" w:rsidRDefault="004A593E" w:rsidP="004A593E">
      <w:pPr>
        <w:rPr>
          <w:rFonts w:eastAsiaTheme="majorEastAsia" w:cstheme="minorHAnsi"/>
          <w:color w:val="2F5496" w:themeColor="accent1" w:themeShade="BF"/>
          <w:sz w:val="24"/>
          <w:szCs w:val="24"/>
        </w:rPr>
      </w:pPr>
      <w:r w:rsidRPr="00B24687">
        <w:rPr>
          <w:rFonts w:eastAsiaTheme="majorEastAsia" w:cstheme="minorHAnsi"/>
          <w:color w:val="2F5496" w:themeColor="accent1" w:themeShade="BF"/>
          <w:sz w:val="24"/>
          <w:szCs w:val="24"/>
        </w:rPr>
        <w:t>Tablica 2. Prikaz statusa provedbe Mjera</w:t>
      </w:r>
    </w:p>
    <w:tbl>
      <w:tblPr>
        <w:tblStyle w:val="Reetkatablice"/>
        <w:tblW w:w="0" w:type="auto"/>
        <w:tblLook w:val="04A0" w:firstRow="1" w:lastRow="0" w:firstColumn="1" w:lastColumn="0" w:noHBand="0" w:noVBand="1"/>
      </w:tblPr>
      <w:tblGrid>
        <w:gridCol w:w="4103"/>
        <w:gridCol w:w="4913"/>
      </w:tblGrid>
      <w:tr w:rsidR="004A593E" w14:paraId="01927C70" w14:textId="77777777" w:rsidTr="0017677C">
        <w:trPr>
          <w:trHeight w:val="280"/>
        </w:trPr>
        <w:tc>
          <w:tcPr>
            <w:tcW w:w="4151" w:type="dxa"/>
          </w:tcPr>
          <w:p w14:paraId="69CDF085" w14:textId="77777777" w:rsidR="004A593E" w:rsidRPr="00B24687" w:rsidRDefault="004A593E" w:rsidP="00B24687">
            <w:pPr>
              <w:pStyle w:val="Naslov3"/>
              <w:jc w:val="center"/>
              <w:outlineLvl w:val="2"/>
              <w:rPr>
                <w:rFonts w:asciiTheme="minorHAnsi" w:hAnsiTheme="minorHAnsi" w:cstheme="minorHAnsi"/>
                <w:b/>
                <w:bCs/>
                <w:sz w:val="20"/>
                <w:szCs w:val="20"/>
              </w:rPr>
            </w:pPr>
            <w:r w:rsidRPr="00B24687">
              <w:rPr>
                <w:rFonts w:asciiTheme="minorHAnsi" w:hAnsiTheme="minorHAnsi" w:cstheme="minorHAnsi"/>
                <w:b/>
                <w:bCs/>
                <w:sz w:val="20"/>
                <w:szCs w:val="20"/>
              </w:rPr>
              <w:t>Mjere</w:t>
            </w:r>
          </w:p>
        </w:tc>
        <w:tc>
          <w:tcPr>
            <w:tcW w:w="4979" w:type="dxa"/>
          </w:tcPr>
          <w:p w14:paraId="1C90FEFA" w14:textId="77777777" w:rsidR="004A593E" w:rsidRPr="00B24687" w:rsidRDefault="004A593E" w:rsidP="00B24687">
            <w:pPr>
              <w:pStyle w:val="Naslov3"/>
              <w:jc w:val="center"/>
              <w:outlineLvl w:val="2"/>
              <w:rPr>
                <w:rFonts w:asciiTheme="minorHAnsi" w:hAnsiTheme="minorHAnsi" w:cstheme="minorHAnsi"/>
                <w:b/>
                <w:bCs/>
                <w:sz w:val="20"/>
                <w:szCs w:val="20"/>
              </w:rPr>
            </w:pPr>
            <w:r w:rsidRPr="00B24687">
              <w:rPr>
                <w:rFonts w:asciiTheme="minorHAnsi" w:hAnsiTheme="minorHAnsi" w:cstheme="minorHAnsi"/>
                <w:b/>
                <w:bCs/>
                <w:sz w:val="20"/>
                <w:szCs w:val="20"/>
              </w:rPr>
              <w:t>Status provedbe</w:t>
            </w:r>
          </w:p>
        </w:tc>
      </w:tr>
      <w:tr w:rsidR="004A593E" w14:paraId="7AB3998B" w14:textId="77777777" w:rsidTr="0017677C">
        <w:trPr>
          <w:trHeight w:val="280"/>
        </w:trPr>
        <w:tc>
          <w:tcPr>
            <w:tcW w:w="4151" w:type="dxa"/>
          </w:tcPr>
          <w:p w14:paraId="6BBC9054" w14:textId="77777777" w:rsidR="004A593E" w:rsidRDefault="00305E5A" w:rsidP="004A593E">
            <w:r>
              <w:t>Mjera 1. Uređenje naselja i stanovanje</w:t>
            </w:r>
          </w:p>
        </w:tc>
        <w:tc>
          <w:tcPr>
            <w:tcW w:w="4979" w:type="dxa"/>
          </w:tcPr>
          <w:p w14:paraId="3BF9D6D6" w14:textId="77777777" w:rsidR="004A593E" w:rsidRDefault="00964EED" w:rsidP="004A593E">
            <w:r>
              <w:t xml:space="preserve">U TIJEKU </w:t>
            </w:r>
          </w:p>
        </w:tc>
      </w:tr>
      <w:tr w:rsidR="00305E5A" w14:paraId="182FE81F" w14:textId="77777777" w:rsidTr="0017677C">
        <w:trPr>
          <w:trHeight w:val="280"/>
        </w:trPr>
        <w:tc>
          <w:tcPr>
            <w:tcW w:w="4151" w:type="dxa"/>
          </w:tcPr>
          <w:p w14:paraId="5716667A" w14:textId="77777777" w:rsidR="00305E5A" w:rsidRDefault="00305E5A" w:rsidP="00305E5A">
            <w:r>
              <w:t>Mjera 2. Prostorno i urbanističko planiranje</w:t>
            </w:r>
          </w:p>
        </w:tc>
        <w:tc>
          <w:tcPr>
            <w:tcW w:w="4979" w:type="dxa"/>
          </w:tcPr>
          <w:p w14:paraId="11662F43" w14:textId="77777777" w:rsidR="00305E5A" w:rsidRDefault="00305E5A" w:rsidP="00305E5A">
            <w:r>
              <w:t>PROVEDENO</w:t>
            </w:r>
          </w:p>
        </w:tc>
      </w:tr>
      <w:tr w:rsidR="00305E5A" w14:paraId="143806BF" w14:textId="77777777" w:rsidTr="0017677C">
        <w:trPr>
          <w:trHeight w:val="561"/>
        </w:trPr>
        <w:tc>
          <w:tcPr>
            <w:tcW w:w="4151" w:type="dxa"/>
          </w:tcPr>
          <w:p w14:paraId="00E8AB62" w14:textId="77777777" w:rsidR="00305E5A" w:rsidRDefault="00305E5A" w:rsidP="00305E5A">
            <w:r>
              <w:t>Mjera 3. Komunalno gospodarstvo i održavanje javnih prometnica</w:t>
            </w:r>
          </w:p>
        </w:tc>
        <w:tc>
          <w:tcPr>
            <w:tcW w:w="4979" w:type="dxa"/>
          </w:tcPr>
          <w:p w14:paraId="790371F7" w14:textId="77777777" w:rsidR="00305E5A" w:rsidRDefault="00305E5A" w:rsidP="00305E5A">
            <w:r>
              <w:t>U TIJEKU</w:t>
            </w:r>
            <w:r w:rsidR="009A6547">
              <w:t xml:space="preserve">, PROVEDENO i </w:t>
            </w:r>
            <w:r>
              <w:t>NIJE POKRENUTO</w:t>
            </w:r>
          </w:p>
        </w:tc>
      </w:tr>
      <w:tr w:rsidR="00305E5A" w14:paraId="3594C9BF" w14:textId="77777777" w:rsidTr="0017677C">
        <w:trPr>
          <w:trHeight w:val="280"/>
        </w:trPr>
        <w:tc>
          <w:tcPr>
            <w:tcW w:w="4151" w:type="dxa"/>
          </w:tcPr>
          <w:p w14:paraId="44678FB3" w14:textId="77777777" w:rsidR="00305E5A" w:rsidRDefault="00305E5A" w:rsidP="00305E5A">
            <w:r>
              <w:t>Mjera 4. Odgoj, obrazovanje i briga o djeci</w:t>
            </w:r>
          </w:p>
        </w:tc>
        <w:tc>
          <w:tcPr>
            <w:tcW w:w="4979" w:type="dxa"/>
          </w:tcPr>
          <w:p w14:paraId="54009659" w14:textId="77777777" w:rsidR="00305E5A" w:rsidRDefault="00305E5A" w:rsidP="00305E5A">
            <w:r>
              <w:t xml:space="preserve">U TIJEKU </w:t>
            </w:r>
          </w:p>
        </w:tc>
      </w:tr>
      <w:tr w:rsidR="00305E5A" w14:paraId="661E4D13" w14:textId="77777777" w:rsidTr="0017677C">
        <w:trPr>
          <w:trHeight w:val="280"/>
        </w:trPr>
        <w:tc>
          <w:tcPr>
            <w:tcW w:w="4151" w:type="dxa"/>
          </w:tcPr>
          <w:p w14:paraId="280C7011" w14:textId="77777777" w:rsidR="00305E5A" w:rsidRDefault="00305E5A" w:rsidP="00305E5A">
            <w:r>
              <w:t>Mjera 5. Socijalna skrb</w:t>
            </w:r>
          </w:p>
        </w:tc>
        <w:tc>
          <w:tcPr>
            <w:tcW w:w="4979" w:type="dxa"/>
          </w:tcPr>
          <w:p w14:paraId="00340130" w14:textId="77777777" w:rsidR="00305E5A" w:rsidRDefault="00305E5A" w:rsidP="00305E5A">
            <w:r>
              <w:t>U TIJEKU i PROVEDENO</w:t>
            </w:r>
          </w:p>
        </w:tc>
      </w:tr>
      <w:tr w:rsidR="00305E5A" w14:paraId="31B3EA8E" w14:textId="77777777" w:rsidTr="0017677C">
        <w:trPr>
          <w:trHeight w:val="280"/>
        </w:trPr>
        <w:tc>
          <w:tcPr>
            <w:tcW w:w="4151" w:type="dxa"/>
          </w:tcPr>
          <w:p w14:paraId="337FCC6A" w14:textId="77777777" w:rsidR="00305E5A" w:rsidRDefault="00305E5A" w:rsidP="00305E5A">
            <w:r>
              <w:t>Mjera 6. Kultura</w:t>
            </w:r>
          </w:p>
        </w:tc>
        <w:tc>
          <w:tcPr>
            <w:tcW w:w="4979" w:type="dxa"/>
          </w:tcPr>
          <w:p w14:paraId="48D1BFB2" w14:textId="77777777" w:rsidR="00305E5A" w:rsidRDefault="00305E5A" w:rsidP="00305E5A">
            <w:r>
              <w:t>U TIJEKU</w:t>
            </w:r>
            <w:r w:rsidR="004E244A">
              <w:t xml:space="preserve"> i</w:t>
            </w:r>
            <w:r>
              <w:t xml:space="preserve"> ODUSTAJE SE </w:t>
            </w:r>
          </w:p>
        </w:tc>
      </w:tr>
      <w:tr w:rsidR="00305E5A" w14:paraId="0C9CF5F6" w14:textId="77777777" w:rsidTr="0017677C">
        <w:trPr>
          <w:trHeight w:val="280"/>
        </w:trPr>
        <w:tc>
          <w:tcPr>
            <w:tcW w:w="4151" w:type="dxa"/>
          </w:tcPr>
          <w:p w14:paraId="5E3A09B9" w14:textId="77777777" w:rsidR="00305E5A" w:rsidRDefault="00305E5A" w:rsidP="00305E5A">
            <w:r>
              <w:t>Mjera 7. Tjelesna kultura i sport</w:t>
            </w:r>
          </w:p>
        </w:tc>
        <w:tc>
          <w:tcPr>
            <w:tcW w:w="4979" w:type="dxa"/>
          </w:tcPr>
          <w:p w14:paraId="7393EAA0" w14:textId="77777777" w:rsidR="00305E5A" w:rsidRDefault="00305E5A" w:rsidP="00305E5A">
            <w:r>
              <w:t>U TIJEKU i PROVEDENO</w:t>
            </w:r>
          </w:p>
        </w:tc>
      </w:tr>
      <w:tr w:rsidR="00305E5A" w14:paraId="67D1FBEF" w14:textId="77777777" w:rsidTr="0017677C">
        <w:trPr>
          <w:trHeight w:val="561"/>
        </w:trPr>
        <w:tc>
          <w:tcPr>
            <w:tcW w:w="4151" w:type="dxa"/>
          </w:tcPr>
          <w:p w14:paraId="7C949F54" w14:textId="77777777" w:rsidR="00305E5A" w:rsidRDefault="00305E5A" w:rsidP="00305E5A">
            <w:r>
              <w:t>Mjera 8. Zaštita i unaprjeđenje prirodnog okoliša</w:t>
            </w:r>
          </w:p>
        </w:tc>
        <w:tc>
          <w:tcPr>
            <w:tcW w:w="4979" w:type="dxa"/>
          </w:tcPr>
          <w:p w14:paraId="6CB145DC" w14:textId="77777777" w:rsidR="00305E5A" w:rsidRDefault="00305E5A" w:rsidP="00305E5A">
            <w:r>
              <w:t>U TIJEKU</w:t>
            </w:r>
            <w:r w:rsidR="008F6A3E">
              <w:t xml:space="preserve"> </w:t>
            </w:r>
            <w:r>
              <w:t>i PROVEDENO</w:t>
            </w:r>
          </w:p>
        </w:tc>
      </w:tr>
      <w:tr w:rsidR="00305E5A" w14:paraId="2397AF95" w14:textId="77777777" w:rsidTr="0017677C">
        <w:trPr>
          <w:trHeight w:val="280"/>
        </w:trPr>
        <w:tc>
          <w:tcPr>
            <w:tcW w:w="4151" w:type="dxa"/>
          </w:tcPr>
          <w:p w14:paraId="7DBAF921" w14:textId="77777777" w:rsidR="00305E5A" w:rsidRDefault="00305E5A" w:rsidP="00305E5A">
            <w:r>
              <w:t>Mjera 9. Protupožarna i civilna zaštita</w:t>
            </w:r>
          </w:p>
        </w:tc>
        <w:tc>
          <w:tcPr>
            <w:tcW w:w="4979" w:type="dxa"/>
          </w:tcPr>
          <w:p w14:paraId="08F46A1E" w14:textId="77777777" w:rsidR="00305E5A" w:rsidRDefault="00305E5A" w:rsidP="00305E5A">
            <w:r>
              <w:t xml:space="preserve">U TIJEKU </w:t>
            </w:r>
            <w:r w:rsidR="004E244A">
              <w:t>i PROVEDENO</w:t>
            </w:r>
          </w:p>
        </w:tc>
      </w:tr>
      <w:tr w:rsidR="00305E5A" w14:paraId="651AB47F" w14:textId="77777777" w:rsidTr="0017677C">
        <w:trPr>
          <w:trHeight w:val="280"/>
        </w:trPr>
        <w:tc>
          <w:tcPr>
            <w:tcW w:w="4151" w:type="dxa"/>
          </w:tcPr>
          <w:p w14:paraId="0D37A0D4" w14:textId="77777777" w:rsidR="00305E5A" w:rsidRDefault="00305E5A" w:rsidP="00305E5A">
            <w:r>
              <w:t>Mjera 10. Gospodarstvo</w:t>
            </w:r>
          </w:p>
        </w:tc>
        <w:tc>
          <w:tcPr>
            <w:tcW w:w="4979" w:type="dxa"/>
          </w:tcPr>
          <w:p w14:paraId="2A21933F" w14:textId="77777777" w:rsidR="00305E5A" w:rsidRDefault="00305E5A" w:rsidP="00305E5A">
            <w:r>
              <w:t xml:space="preserve">U TIJEKU </w:t>
            </w:r>
          </w:p>
        </w:tc>
      </w:tr>
      <w:tr w:rsidR="00305E5A" w14:paraId="58E19BBC" w14:textId="77777777" w:rsidTr="0017677C">
        <w:trPr>
          <w:trHeight w:val="280"/>
        </w:trPr>
        <w:tc>
          <w:tcPr>
            <w:tcW w:w="4151" w:type="dxa"/>
          </w:tcPr>
          <w:p w14:paraId="4C8B5975" w14:textId="77777777" w:rsidR="00305E5A" w:rsidRDefault="00305E5A" w:rsidP="00305E5A">
            <w:r>
              <w:t>Mjera 11. Poljoprivreda i ruralni razvoj</w:t>
            </w:r>
          </w:p>
        </w:tc>
        <w:tc>
          <w:tcPr>
            <w:tcW w:w="4979" w:type="dxa"/>
          </w:tcPr>
          <w:p w14:paraId="18F3B7DF" w14:textId="77777777" w:rsidR="00305E5A" w:rsidRDefault="00305E5A" w:rsidP="00305E5A">
            <w:r>
              <w:t xml:space="preserve">U TIJEKU </w:t>
            </w:r>
          </w:p>
        </w:tc>
      </w:tr>
      <w:tr w:rsidR="00305E5A" w14:paraId="13774921" w14:textId="77777777" w:rsidTr="0017677C">
        <w:trPr>
          <w:trHeight w:val="280"/>
        </w:trPr>
        <w:tc>
          <w:tcPr>
            <w:tcW w:w="4151" w:type="dxa"/>
          </w:tcPr>
          <w:p w14:paraId="62205E33" w14:textId="77777777" w:rsidR="00305E5A" w:rsidRDefault="00305E5A" w:rsidP="00305E5A">
            <w:r>
              <w:t>Mjera 12. Lokalna uprava i administracija</w:t>
            </w:r>
          </w:p>
        </w:tc>
        <w:tc>
          <w:tcPr>
            <w:tcW w:w="4979" w:type="dxa"/>
          </w:tcPr>
          <w:p w14:paraId="0ECAC1BE" w14:textId="77777777" w:rsidR="00305E5A" w:rsidRDefault="00305E5A" w:rsidP="00305E5A">
            <w:r>
              <w:t>U TIJEKU</w:t>
            </w:r>
          </w:p>
        </w:tc>
      </w:tr>
      <w:tr w:rsidR="00305E5A" w14:paraId="6CF01A15" w14:textId="77777777" w:rsidTr="0017677C">
        <w:trPr>
          <w:trHeight w:val="280"/>
        </w:trPr>
        <w:tc>
          <w:tcPr>
            <w:tcW w:w="4151" w:type="dxa"/>
          </w:tcPr>
          <w:p w14:paraId="623D25D1" w14:textId="77777777" w:rsidR="00305E5A" w:rsidRDefault="00305E5A" w:rsidP="00305E5A">
            <w:r>
              <w:t>Mjera 13. Demografija</w:t>
            </w:r>
          </w:p>
        </w:tc>
        <w:tc>
          <w:tcPr>
            <w:tcW w:w="4979" w:type="dxa"/>
          </w:tcPr>
          <w:p w14:paraId="5EE0B0EB" w14:textId="77777777" w:rsidR="00305E5A" w:rsidRDefault="00305E5A" w:rsidP="00305E5A">
            <w:r>
              <w:t>U TIJEKU</w:t>
            </w:r>
          </w:p>
        </w:tc>
      </w:tr>
      <w:tr w:rsidR="00305E5A" w14:paraId="464F34B7" w14:textId="77777777" w:rsidTr="0017677C">
        <w:trPr>
          <w:trHeight w:val="280"/>
        </w:trPr>
        <w:tc>
          <w:tcPr>
            <w:tcW w:w="4151" w:type="dxa"/>
          </w:tcPr>
          <w:p w14:paraId="52259B5A" w14:textId="77777777" w:rsidR="00305E5A" w:rsidRDefault="00305E5A" w:rsidP="00305E5A">
            <w:r>
              <w:t>Mjera 14. Turizam</w:t>
            </w:r>
          </w:p>
        </w:tc>
        <w:tc>
          <w:tcPr>
            <w:tcW w:w="4979" w:type="dxa"/>
          </w:tcPr>
          <w:p w14:paraId="07C5B220" w14:textId="77777777" w:rsidR="00305E5A" w:rsidRDefault="00305E5A" w:rsidP="00305E5A">
            <w:r>
              <w:t>U TIJEKU</w:t>
            </w:r>
          </w:p>
        </w:tc>
      </w:tr>
    </w:tbl>
    <w:p w14:paraId="67A62812" w14:textId="77777777" w:rsidR="004A593E" w:rsidRDefault="004A593E" w:rsidP="004A593E"/>
    <w:p w14:paraId="6C5C2157" w14:textId="77777777" w:rsidR="004A01DF" w:rsidRPr="00A2294A" w:rsidRDefault="004A01DF" w:rsidP="004A01DF">
      <w:pPr>
        <w:pStyle w:val="Odlomakpopisa"/>
        <w:numPr>
          <w:ilvl w:val="1"/>
          <w:numId w:val="1"/>
        </w:numPr>
        <w:rPr>
          <w:b/>
          <w:bCs/>
        </w:rPr>
      </w:pPr>
      <w:r w:rsidRPr="00A2294A">
        <w:rPr>
          <w:b/>
          <w:bCs/>
        </w:rPr>
        <w:t>Zaključak o ostvarenom napretku u provedbi mjera</w:t>
      </w:r>
    </w:p>
    <w:p w14:paraId="2577E88A" w14:textId="77777777" w:rsidR="004A01DF" w:rsidRDefault="004A01DF" w:rsidP="00E41D7A">
      <w:pPr>
        <w:spacing w:line="240" w:lineRule="auto"/>
      </w:pPr>
      <w:r>
        <w:t xml:space="preserve">Provedba mjera Provedbenog programa Grada Gospića 2021.-2025. godine uvjetovana je nizom okolnosti koje su utjecale na rad svih javnopravnih tijela u Republici Hrvatskoj pa tako i na Grad Gospić. </w:t>
      </w:r>
    </w:p>
    <w:p w14:paraId="0420B933" w14:textId="77777777" w:rsidR="004A01DF" w:rsidRDefault="004A01DF" w:rsidP="00E41D7A">
      <w:pPr>
        <w:spacing w:line="240" w:lineRule="auto"/>
      </w:pPr>
      <w:r>
        <w:t xml:space="preserve">Bez obzira na značajne izazove kojim se susreo Grad Gospić u 2022. godini većina mjera odnosno projekata </w:t>
      </w:r>
      <w:r w:rsidR="00DF17A2">
        <w:t>ostvaruje se planiranom dinamikom, osim jednog projekta od kojeg se odustalo dok s</w:t>
      </w:r>
      <w:r w:rsidR="00356E58">
        <w:t>u</w:t>
      </w:r>
      <w:r w:rsidR="00DF17A2">
        <w:t xml:space="preserve"> nek</w:t>
      </w:r>
      <w:r w:rsidR="00356E58">
        <w:t>i</w:t>
      </w:r>
      <w:r w:rsidR="00DF17A2">
        <w:t xml:space="preserve"> odgo</w:t>
      </w:r>
      <w:r w:rsidR="00356E58">
        <w:t>đeni</w:t>
      </w:r>
      <w:r w:rsidR="00DF17A2">
        <w:t xml:space="preserve"> za budući period kako bi se na optimalan način postigli zacrtani ciljevi. </w:t>
      </w:r>
    </w:p>
    <w:p w14:paraId="766D7C71" w14:textId="77777777" w:rsidR="00DF17A2" w:rsidRDefault="00DF17A2" w:rsidP="00E41D7A">
      <w:pPr>
        <w:spacing w:line="240" w:lineRule="auto"/>
      </w:pPr>
      <w:r>
        <w:t xml:space="preserve">Zaključno sve mjere se kontinuirano provode, do sada </w:t>
      </w:r>
      <w:r w:rsidR="00356E58">
        <w:t>Grad Gospić je</w:t>
      </w:r>
      <w:r>
        <w:t xml:space="preserve"> zadovolj</w:t>
      </w:r>
      <w:r w:rsidR="00356E58">
        <w:t>an</w:t>
      </w:r>
      <w:r>
        <w:t xml:space="preserve"> postignutim unatoč ekonomskoj i gospodarskoj situaciji, te se nada i daljnjem uspješnom o</w:t>
      </w:r>
      <w:r w:rsidR="008F6A3E">
        <w:t>stvarivanju zadanih mjera u slj</w:t>
      </w:r>
      <w:r>
        <w:t xml:space="preserve">edećem izvještajnom razdoblju. </w:t>
      </w:r>
    </w:p>
    <w:p w14:paraId="614BED9D" w14:textId="77777777" w:rsidR="004A593E" w:rsidRDefault="004A593E" w:rsidP="004A593E"/>
    <w:p w14:paraId="38E795E6" w14:textId="77777777" w:rsidR="00E41D7A" w:rsidRDefault="00E41D7A" w:rsidP="004A593E"/>
    <w:p w14:paraId="276E67AE" w14:textId="77777777" w:rsidR="002C3692" w:rsidRDefault="00393E40" w:rsidP="004A01DF">
      <w:pPr>
        <w:pStyle w:val="Naslov1"/>
        <w:numPr>
          <w:ilvl w:val="0"/>
          <w:numId w:val="1"/>
        </w:numPr>
      </w:pPr>
      <w:bookmarkStart w:id="2" w:name="_Toc108693283"/>
      <w:r>
        <w:t>DOPRINOS OSTVARENJU CILJEVA JAVNIH POLITIKA</w:t>
      </w:r>
      <w:bookmarkEnd w:id="2"/>
    </w:p>
    <w:p w14:paraId="518C50DB" w14:textId="77777777" w:rsidR="00E36A68" w:rsidRDefault="00E36A68" w:rsidP="00E36A68">
      <w:pPr>
        <w:rPr>
          <w:i/>
          <w:iCs/>
        </w:rPr>
      </w:pPr>
    </w:p>
    <w:p w14:paraId="0F06C8D0" w14:textId="77777777" w:rsidR="00DA3309" w:rsidRDefault="00C5494B" w:rsidP="00E41D7A">
      <w:pPr>
        <w:spacing w:line="240" w:lineRule="auto"/>
        <w:jc w:val="both"/>
        <w:rPr>
          <w:rFonts w:cstheme="minorHAnsi"/>
        </w:rPr>
      </w:pPr>
      <w:r w:rsidRPr="00C5494B">
        <w:rPr>
          <w:rFonts w:cstheme="minorHAnsi"/>
        </w:rPr>
        <w:t>Grad Gospić</w:t>
      </w:r>
      <w:r>
        <w:rPr>
          <w:rFonts w:cstheme="minorHAnsi"/>
        </w:rPr>
        <w:t xml:space="preserve"> provedbom mjera u Provedbenom programu</w:t>
      </w:r>
      <w:r w:rsidR="00A2294A">
        <w:rPr>
          <w:rFonts w:cstheme="minorHAnsi"/>
        </w:rPr>
        <w:t xml:space="preserve"> za razdoblje 2021. – 2025. godine</w:t>
      </w:r>
      <w:r>
        <w:rPr>
          <w:rFonts w:cstheme="minorHAnsi"/>
        </w:rPr>
        <w:t xml:space="preserve"> doprinosi provedbi 14 strateških ciljeva Nacionalne razvojne strategije Republike Hrvatske do 2030. godine, kao krovnog nacionalnog strateškog akta na koji se potom veže i strateški smjer razvoja na regionalnoj i lokalnoj razini, a koji se sastoji od sljedećih razvojnih smjerova i strateških ciljeva</w:t>
      </w:r>
      <w:r w:rsidR="008F6A3E">
        <w:rPr>
          <w:rFonts w:cstheme="minorHAnsi"/>
        </w:rPr>
        <w:t xml:space="preserve"> </w:t>
      </w:r>
      <w:r>
        <w:rPr>
          <w:rFonts w:cstheme="minorHAnsi"/>
        </w:rPr>
        <w:t>(dalje:</w:t>
      </w:r>
      <w:r w:rsidR="005148CA">
        <w:rPr>
          <w:rFonts w:cstheme="minorHAnsi"/>
        </w:rPr>
        <w:t xml:space="preserve"> </w:t>
      </w:r>
      <w:r>
        <w:rPr>
          <w:rFonts w:cstheme="minorHAnsi"/>
        </w:rPr>
        <w:t>SC):</w:t>
      </w:r>
    </w:p>
    <w:p w14:paraId="12529295" w14:textId="77777777" w:rsidR="00DA3309" w:rsidRDefault="00316672" w:rsidP="00DA3309">
      <w:pPr>
        <w:rPr>
          <w:rFonts w:cstheme="minorHAnsi"/>
        </w:rPr>
      </w:pPr>
      <w:r>
        <w:rPr>
          <w:rFonts w:cstheme="minorHAnsi"/>
        </w:rPr>
        <w:t>Unutar r</w:t>
      </w:r>
      <w:r w:rsidR="00DA3309">
        <w:rPr>
          <w:rFonts w:cstheme="minorHAnsi"/>
        </w:rPr>
        <w:t>azvojn</w:t>
      </w:r>
      <w:r>
        <w:rPr>
          <w:rFonts w:cstheme="minorHAnsi"/>
        </w:rPr>
        <w:t>og</w:t>
      </w:r>
      <w:r w:rsidR="00DA3309">
        <w:rPr>
          <w:rFonts w:cstheme="minorHAnsi"/>
        </w:rPr>
        <w:t xml:space="preserve"> smjer</w:t>
      </w:r>
      <w:r>
        <w:rPr>
          <w:rFonts w:cstheme="minorHAnsi"/>
        </w:rPr>
        <w:t xml:space="preserve">a </w:t>
      </w:r>
      <w:r w:rsidRPr="00316672">
        <w:rPr>
          <w:rFonts w:cstheme="minorHAnsi"/>
          <w:b/>
          <w:bCs/>
          <w:i/>
          <w:iCs/>
        </w:rPr>
        <w:t>RS</w:t>
      </w:r>
      <w:r w:rsidR="00DA3309" w:rsidRPr="00316672">
        <w:rPr>
          <w:rFonts w:cstheme="minorHAnsi"/>
          <w:b/>
          <w:bCs/>
          <w:i/>
          <w:iCs/>
        </w:rPr>
        <w:t>1</w:t>
      </w:r>
      <w:r w:rsidR="008F6A3E">
        <w:rPr>
          <w:rFonts w:cstheme="minorHAnsi"/>
          <w:b/>
          <w:bCs/>
          <w:i/>
          <w:iCs/>
        </w:rPr>
        <w:t xml:space="preserve"> </w:t>
      </w:r>
      <w:r w:rsidR="005C3A3C" w:rsidRPr="00316672">
        <w:rPr>
          <w:rFonts w:cstheme="minorHAnsi"/>
          <w:b/>
          <w:bCs/>
          <w:i/>
          <w:iCs/>
        </w:rPr>
        <w:t>Održivo gospodarstvo i društvo</w:t>
      </w:r>
      <w:r>
        <w:rPr>
          <w:rFonts w:cstheme="minorHAnsi"/>
        </w:rPr>
        <w:t xml:space="preserve"> uvršteni su sljedeći ciljevi i ostvareni sljedeći rezultati: </w:t>
      </w:r>
    </w:p>
    <w:p w14:paraId="04CE0864" w14:textId="77777777" w:rsidR="00DA3309" w:rsidRPr="00D3742F" w:rsidRDefault="00DA3309" w:rsidP="009551F5">
      <w:pPr>
        <w:ind w:firstLine="360"/>
        <w:rPr>
          <w:rFonts w:cstheme="minorHAnsi"/>
          <w:b/>
          <w:bCs/>
        </w:rPr>
      </w:pPr>
      <w:r w:rsidRPr="00D3742F">
        <w:rPr>
          <w:rFonts w:cstheme="minorHAnsi"/>
          <w:b/>
          <w:bCs/>
        </w:rPr>
        <w:t xml:space="preserve">SC1. </w:t>
      </w:r>
      <w:r w:rsidR="005C3A3C" w:rsidRPr="00D3742F">
        <w:rPr>
          <w:rFonts w:cstheme="minorHAnsi"/>
          <w:b/>
          <w:bCs/>
        </w:rPr>
        <w:t>K</w:t>
      </w:r>
      <w:r w:rsidRPr="00D3742F">
        <w:rPr>
          <w:rFonts w:cstheme="minorHAnsi"/>
          <w:b/>
          <w:bCs/>
        </w:rPr>
        <w:t>onkurentno</w:t>
      </w:r>
      <w:r w:rsidR="005C3A3C" w:rsidRPr="00D3742F">
        <w:rPr>
          <w:rFonts w:cstheme="minorHAnsi"/>
          <w:b/>
          <w:bCs/>
        </w:rPr>
        <w:t xml:space="preserve"> i inovativno gospodarstvo</w:t>
      </w:r>
      <w:r w:rsidR="009551F5" w:rsidRPr="00D3742F">
        <w:rPr>
          <w:rFonts w:cstheme="minorHAnsi"/>
          <w:b/>
          <w:bCs/>
        </w:rPr>
        <w:t>:</w:t>
      </w:r>
    </w:p>
    <w:p w14:paraId="6F24A8E3" w14:textId="3E77CE2E" w:rsidR="00FC558F" w:rsidRPr="008D7E06" w:rsidRDefault="008D7E06" w:rsidP="008D7E06">
      <w:pPr>
        <w:pStyle w:val="Odlomakpopisa"/>
        <w:numPr>
          <w:ilvl w:val="0"/>
          <w:numId w:val="5"/>
        </w:numPr>
        <w:spacing w:line="240" w:lineRule="auto"/>
        <w:rPr>
          <w:rFonts w:cstheme="minorHAnsi"/>
        </w:rPr>
      </w:pPr>
      <w:r>
        <w:rPr>
          <w:rFonts w:cstheme="minorHAnsi"/>
        </w:rPr>
        <w:t xml:space="preserve">U 2022. godini Grad Gospić je </w:t>
      </w:r>
      <w:r w:rsidR="005105DC">
        <w:rPr>
          <w:rFonts w:cstheme="minorHAnsi"/>
        </w:rPr>
        <w:t>potica</w:t>
      </w:r>
      <w:r>
        <w:rPr>
          <w:rFonts w:cstheme="minorHAnsi"/>
        </w:rPr>
        <w:t xml:space="preserve">o na </w:t>
      </w:r>
      <w:r w:rsidR="005105DC">
        <w:rPr>
          <w:rFonts w:cstheme="minorHAnsi"/>
        </w:rPr>
        <w:t>razvoj gospodarstva, poljoprivrede i turizma</w:t>
      </w:r>
      <w:r w:rsidR="00B24687">
        <w:rPr>
          <w:rFonts w:cstheme="minorHAnsi"/>
        </w:rPr>
        <w:t xml:space="preserve"> organizacijom aktivnosti vezane uz promicanje lika i djela Nikole Tesle, </w:t>
      </w:r>
      <w:r w:rsidR="00B24687" w:rsidRPr="00B24687">
        <w:rPr>
          <w:rFonts w:cstheme="minorHAnsi"/>
        </w:rPr>
        <w:t>sufinancira</w:t>
      </w:r>
      <w:r w:rsidR="00B24687">
        <w:rPr>
          <w:rFonts w:cstheme="minorHAnsi"/>
        </w:rPr>
        <w:t>nje</w:t>
      </w:r>
      <w:r w:rsidR="006E378E">
        <w:rPr>
          <w:rFonts w:cstheme="minorHAnsi"/>
        </w:rPr>
        <w:t>m</w:t>
      </w:r>
      <w:r w:rsidR="00B24687" w:rsidRPr="00B24687">
        <w:rPr>
          <w:rFonts w:cstheme="minorHAnsi"/>
        </w:rPr>
        <w:t xml:space="preserve"> rad</w:t>
      </w:r>
      <w:r>
        <w:rPr>
          <w:rFonts w:cstheme="minorHAnsi"/>
        </w:rPr>
        <w:t>a</w:t>
      </w:r>
      <w:r w:rsidR="00B24687" w:rsidRPr="00B24687">
        <w:rPr>
          <w:rFonts w:cstheme="minorHAnsi"/>
        </w:rPr>
        <w:t xml:space="preserve"> turističke zajednice Grada Gospića</w:t>
      </w:r>
      <w:r w:rsidR="00B24687">
        <w:rPr>
          <w:rFonts w:cstheme="minorHAnsi"/>
        </w:rPr>
        <w:t>,</w:t>
      </w:r>
      <w:r>
        <w:rPr>
          <w:rFonts w:cstheme="minorHAnsi"/>
        </w:rPr>
        <w:t xml:space="preserve"> dodjelom potpora poljoprivrednicima, sufinanciranjem rada Razvojnog centra Ličko-senjske županije </w:t>
      </w:r>
      <w:r w:rsidR="001D4F15">
        <w:rPr>
          <w:rFonts w:cstheme="minorHAnsi"/>
        </w:rPr>
        <w:t>koj</w:t>
      </w:r>
      <w:r w:rsidR="008928A8">
        <w:rPr>
          <w:rFonts w:cstheme="minorHAnsi"/>
        </w:rPr>
        <w:t>em</w:t>
      </w:r>
      <w:r w:rsidR="001D4F15">
        <w:rPr>
          <w:rFonts w:cstheme="minorHAnsi"/>
        </w:rPr>
        <w:t xml:space="preserve"> </w:t>
      </w:r>
      <w:r>
        <w:rPr>
          <w:rFonts w:cstheme="minorHAnsi"/>
        </w:rPr>
        <w:t xml:space="preserve">daje </w:t>
      </w:r>
      <w:r w:rsidR="00FC558F" w:rsidRPr="008D7E06">
        <w:rPr>
          <w:rFonts w:cstheme="minorHAnsi"/>
        </w:rPr>
        <w:t>podršk</w:t>
      </w:r>
      <w:r>
        <w:rPr>
          <w:rFonts w:cstheme="minorHAnsi"/>
        </w:rPr>
        <w:t>u</w:t>
      </w:r>
      <w:r w:rsidR="00FC558F" w:rsidRPr="008D7E06">
        <w:rPr>
          <w:rFonts w:cstheme="minorHAnsi"/>
        </w:rPr>
        <w:t xml:space="preserve"> u razvoju poduzetništva</w:t>
      </w:r>
      <w:r>
        <w:rPr>
          <w:rFonts w:cstheme="minorHAnsi"/>
        </w:rPr>
        <w:t xml:space="preserve">. </w:t>
      </w:r>
    </w:p>
    <w:p w14:paraId="1D0B22D7" w14:textId="3020DBE8" w:rsidR="008D7E06" w:rsidRPr="008D7E06" w:rsidRDefault="006E378E" w:rsidP="008D7E06">
      <w:pPr>
        <w:pStyle w:val="Odlomakpopisa"/>
        <w:numPr>
          <w:ilvl w:val="0"/>
          <w:numId w:val="5"/>
        </w:numPr>
        <w:spacing w:line="240" w:lineRule="auto"/>
        <w:rPr>
          <w:rFonts w:cstheme="minorHAnsi"/>
        </w:rPr>
      </w:pPr>
      <w:r>
        <w:rPr>
          <w:rFonts w:cstheme="minorHAnsi"/>
        </w:rPr>
        <w:t>S</w:t>
      </w:r>
      <w:r w:rsidR="00C74B26" w:rsidRPr="008D7E06">
        <w:rPr>
          <w:rFonts w:cstheme="minorHAnsi"/>
        </w:rPr>
        <w:t xml:space="preserve">ukladno Programu potpora u poljoprivredi i ruralnom razvoju Grada Gospića </w:t>
      </w:r>
      <w:r w:rsidR="00AE6DEC" w:rsidRPr="008D7E06">
        <w:rPr>
          <w:rFonts w:cstheme="minorHAnsi"/>
        </w:rPr>
        <w:t>dodijeljen</w:t>
      </w:r>
      <w:r w:rsidR="00883896" w:rsidRPr="008D7E06">
        <w:rPr>
          <w:rFonts w:cstheme="minorHAnsi"/>
        </w:rPr>
        <w:t>e</w:t>
      </w:r>
      <w:r w:rsidR="008F6A3E">
        <w:rPr>
          <w:rFonts w:cstheme="minorHAnsi"/>
        </w:rPr>
        <w:t xml:space="preserve"> </w:t>
      </w:r>
      <w:r w:rsidR="00C74B26" w:rsidRPr="008D7E06">
        <w:rPr>
          <w:rFonts w:cstheme="minorHAnsi"/>
        </w:rPr>
        <w:t xml:space="preserve">su </w:t>
      </w:r>
      <w:r w:rsidR="00AE6DEC" w:rsidRPr="008D7E06">
        <w:rPr>
          <w:rFonts w:cstheme="minorHAnsi"/>
        </w:rPr>
        <w:t xml:space="preserve">potpore </w:t>
      </w:r>
      <w:r w:rsidR="00883896" w:rsidRPr="008D7E06">
        <w:rPr>
          <w:rFonts w:cstheme="minorHAnsi"/>
        </w:rPr>
        <w:t xml:space="preserve">poljoprivrednicima </w:t>
      </w:r>
      <w:r w:rsidR="00AE6DEC" w:rsidRPr="008D7E06">
        <w:rPr>
          <w:rFonts w:cstheme="minorHAnsi"/>
        </w:rPr>
        <w:t>za uzgoj mliječnih krava</w:t>
      </w:r>
      <w:r w:rsidR="008D7E06">
        <w:rPr>
          <w:rFonts w:cstheme="minorHAnsi"/>
        </w:rPr>
        <w:t xml:space="preserve"> i </w:t>
      </w:r>
      <w:r w:rsidR="00C74B26" w:rsidRPr="008D7E06">
        <w:rPr>
          <w:rFonts w:cstheme="minorHAnsi"/>
        </w:rPr>
        <w:t xml:space="preserve">umjetno </w:t>
      </w:r>
      <w:proofErr w:type="spellStart"/>
      <w:r w:rsidR="00C74B26" w:rsidRPr="008D7E06">
        <w:rPr>
          <w:rFonts w:cstheme="minorHAnsi"/>
        </w:rPr>
        <w:t>osjemenjivanje</w:t>
      </w:r>
      <w:proofErr w:type="spellEnd"/>
      <w:r w:rsidR="00C74B26" w:rsidRPr="008D7E06">
        <w:rPr>
          <w:rFonts w:cstheme="minorHAnsi"/>
        </w:rPr>
        <w:t xml:space="preserve"> u svrhu razvoja stočarstva</w:t>
      </w:r>
      <w:r w:rsidR="008D7E06">
        <w:rPr>
          <w:rFonts w:cstheme="minorHAnsi"/>
        </w:rPr>
        <w:t>. O</w:t>
      </w:r>
      <w:r w:rsidR="008D7E06" w:rsidRPr="008D7E06">
        <w:rPr>
          <w:rFonts w:cstheme="minorHAnsi"/>
        </w:rPr>
        <w:t xml:space="preserve">rganizirana </w:t>
      </w:r>
      <w:r w:rsidR="008D7E06">
        <w:rPr>
          <w:rFonts w:cstheme="minorHAnsi"/>
        </w:rPr>
        <w:t xml:space="preserve">je </w:t>
      </w:r>
      <w:r w:rsidR="008D7E06" w:rsidRPr="008D7E06">
        <w:rPr>
          <w:rFonts w:cstheme="minorHAnsi"/>
        </w:rPr>
        <w:t>i provedena edukacija o sigurnom rukovanju i pravilnoj primjeni pesticida za poljoprivredne proizvođače</w:t>
      </w:r>
      <w:r w:rsidR="00FF421B">
        <w:rPr>
          <w:rFonts w:cstheme="minorHAnsi"/>
        </w:rPr>
        <w:t xml:space="preserve">, </w:t>
      </w:r>
      <w:r w:rsidR="008D7E06">
        <w:rPr>
          <w:rFonts w:cstheme="minorHAnsi"/>
        </w:rPr>
        <w:t xml:space="preserve">te je održano i </w:t>
      </w:r>
      <w:r w:rsidR="008D7E06" w:rsidRPr="008D7E06">
        <w:rPr>
          <w:rFonts w:cstheme="minorHAnsi"/>
        </w:rPr>
        <w:t xml:space="preserve">predavanje o ljekovitom bilju u cilju promicanja </w:t>
      </w:r>
      <w:r w:rsidR="008D7E06">
        <w:rPr>
          <w:rFonts w:cstheme="minorHAnsi"/>
        </w:rPr>
        <w:t>poljoprivredn</w:t>
      </w:r>
      <w:r w:rsidR="001D4F15">
        <w:rPr>
          <w:rFonts w:cstheme="minorHAnsi"/>
        </w:rPr>
        <w:t>e</w:t>
      </w:r>
      <w:r w:rsidR="008D7E06">
        <w:rPr>
          <w:rFonts w:cstheme="minorHAnsi"/>
        </w:rPr>
        <w:t xml:space="preserve"> proizvodnj</w:t>
      </w:r>
      <w:r w:rsidR="001D4F15">
        <w:rPr>
          <w:rFonts w:cstheme="minorHAnsi"/>
        </w:rPr>
        <w:t>e</w:t>
      </w:r>
      <w:r w:rsidR="008D7E06">
        <w:rPr>
          <w:rFonts w:cstheme="minorHAnsi"/>
        </w:rPr>
        <w:t xml:space="preserve">. </w:t>
      </w:r>
    </w:p>
    <w:p w14:paraId="4F4450AC" w14:textId="77777777" w:rsidR="000C7638" w:rsidRDefault="00FF421B" w:rsidP="00FF421B">
      <w:pPr>
        <w:pStyle w:val="Odlomakpopisa"/>
        <w:numPr>
          <w:ilvl w:val="0"/>
          <w:numId w:val="5"/>
        </w:numPr>
        <w:spacing w:line="240" w:lineRule="auto"/>
        <w:rPr>
          <w:rFonts w:cstheme="minorHAnsi"/>
        </w:rPr>
      </w:pPr>
      <w:r>
        <w:rPr>
          <w:rFonts w:cstheme="minorHAnsi"/>
        </w:rPr>
        <w:t>P</w:t>
      </w:r>
      <w:r w:rsidR="000C7638" w:rsidRPr="00FF421B">
        <w:rPr>
          <w:rFonts w:cstheme="minorHAnsi"/>
        </w:rPr>
        <w:t>rojekt „Raise Youth“ provodi se s ciljem smanjivanja nezaposlenosti mladih s edukacijom, mentorstvom, te treninzima iz područja održive i ekološke poljoprivrede, turizma, digitalnih tehnologija i poduzetništva</w:t>
      </w:r>
      <w:r>
        <w:rPr>
          <w:rFonts w:cstheme="minorHAnsi"/>
        </w:rPr>
        <w:t xml:space="preserve">. Projektom su zaposlene 2 osobe. </w:t>
      </w:r>
    </w:p>
    <w:p w14:paraId="0AD7A3AA" w14:textId="58C11643" w:rsidR="00FF421B" w:rsidRDefault="006E378E" w:rsidP="00AD68BB">
      <w:pPr>
        <w:pStyle w:val="Odlomakpopisa"/>
        <w:numPr>
          <w:ilvl w:val="0"/>
          <w:numId w:val="5"/>
        </w:numPr>
        <w:spacing w:after="0" w:line="240" w:lineRule="auto"/>
        <w:rPr>
          <w:rFonts w:cstheme="minorHAnsi"/>
        </w:rPr>
      </w:pPr>
      <w:r>
        <w:rPr>
          <w:rFonts w:cstheme="minorHAnsi"/>
        </w:rPr>
        <w:t>P</w:t>
      </w:r>
      <w:r w:rsidR="00FF421B" w:rsidRPr="00FF421B">
        <w:rPr>
          <w:rFonts w:cstheme="minorHAnsi"/>
        </w:rPr>
        <w:t xml:space="preserve">okrenuti su koraci u postupku izrade Strategije razvoja urbanog područja Gospić s pripadajućim provedbenim aktima Komunikacijskom strategijom i komunikacijskim akcijskim planom te Akcijskim planom za provedbu. Strategija razvoja urbanog područja Gospić preduvjet </w:t>
      </w:r>
      <w:r w:rsidR="0043564D">
        <w:rPr>
          <w:rFonts w:cstheme="minorHAnsi"/>
        </w:rPr>
        <w:t xml:space="preserve">je </w:t>
      </w:r>
      <w:r w:rsidR="00FF421B" w:rsidRPr="00FF421B">
        <w:rPr>
          <w:rFonts w:cstheme="minorHAnsi"/>
        </w:rPr>
        <w:t>za korištenje sredstava iz ITU mehanizma</w:t>
      </w:r>
      <w:r w:rsidR="00FF421B">
        <w:rPr>
          <w:rFonts w:cstheme="minorHAnsi"/>
        </w:rPr>
        <w:t xml:space="preserve">. </w:t>
      </w:r>
      <w:r w:rsidR="00FF421B" w:rsidRPr="00FF421B">
        <w:rPr>
          <w:rFonts w:cstheme="minorHAnsi"/>
        </w:rPr>
        <w:t>ITU mehanizam omogućuje integriranje sredstava iz različitih europskih fondova i operativnih programa te ulaganja tih sredstava u aktivnosti kojima će se ojačati uloga gradova kao pokretača gospodarskog razvoja.</w:t>
      </w:r>
      <w:r w:rsidR="005148CA">
        <w:rPr>
          <w:rFonts w:cstheme="minorHAnsi"/>
        </w:rPr>
        <w:t xml:space="preserve"> </w:t>
      </w:r>
      <w:r w:rsidR="00FF421B" w:rsidRPr="00FF421B">
        <w:rPr>
          <w:rFonts w:cstheme="minorHAnsi"/>
        </w:rPr>
        <w:t>Odlukom Ministarstva regionalnog razvoja i fondova Europske unije Urbano područje Gospić čine Gospić kao grad središte te općine Perušić i Udbina kao sastavnice</w:t>
      </w:r>
      <w:r w:rsidR="00FF421B">
        <w:rPr>
          <w:rFonts w:cstheme="minorHAnsi"/>
        </w:rPr>
        <w:t xml:space="preserve">. </w:t>
      </w:r>
    </w:p>
    <w:p w14:paraId="0DAE67AF" w14:textId="77777777" w:rsidR="00D3742F" w:rsidRDefault="00FF421B" w:rsidP="00AD68BB">
      <w:pPr>
        <w:pStyle w:val="StandardWeb"/>
        <w:numPr>
          <w:ilvl w:val="0"/>
          <w:numId w:val="5"/>
        </w:numPr>
        <w:shd w:val="clear" w:color="auto" w:fill="FFFFFF"/>
        <w:spacing w:before="0" w:beforeAutospacing="0" w:after="0" w:afterAutospacing="0" w:line="0" w:lineRule="atLeast"/>
        <w:ind w:left="714" w:hanging="357"/>
        <w:rPr>
          <w:rFonts w:asciiTheme="minorHAnsi" w:eastAsiaTheme="minorHAnsi" w:hAnsiTheme="minorHAnsi" w:cstheme="minorHAnsi"/>
          <w:sz w:val="22"/>
          <w:szCs w:val="22"/>
          <w:lang w:eastAsia="en-US"/>
        </w:rPr>
      </w:pPr>
      <w:r w:rsidRPr="00FF421B">
        <w:rPr>
          <w:rFonts w:asciiTheme="minorHAnsi" w:eastAsiaTheme="minorHAnsi" w:hAnsiTheme="minorHAnsi" w:cstheme="minorHAnsi"/>
          <w:sz w:val="22"/>
          <w:szCs w:val="22"/>
          <w:lang w:eastAsia="en-US"/>
        </w:rPr>
        <w:t xml:space="preserve">Grad Gospić prijavio </w:t>
      </w:r>
      <w:r w:rsidR="00AD68BB">
        <w:rPr>
          <w:rFonts w:asciiTheme="minorHAnsi" w:eastAsiaTheme="minorHAnsi" w:hAnsiTheme="minorHAnsi" w:cstheme="minorHAnsi"/>
          <w:sz w:val="22"/>
          <w:szCs w:val="22"/>
          <w:lang w:eastAsia="en-US"/>
        </w:rPr>
        <w:t xml:space="preserve">je </w:t>
      </w:r>
      <w:r w:rsidRPr="00FF421B">
        <w:rPr>
          <w:rFonts w:asciiTheme="minorHAnsi" w:eastAsiaTheme="minorHAnsi" w:hAnsiTheme="minorHAnsi" w:cstheme="minorHAnsi"/>
          <w:sz w:val="22"/>
          <w:szCs w:val="22"/>
          <w:lang w:eastAsia="en-US"/>
        </w:rPr>
        <w:t>projekt Gospić Smart City na Javni poziv za poticanje razvoja pametnih i održivih rješenja i usluga (EnU-6/21) Fonda za zaštitu okoliša i energetsku učinkovitost. Ugovor s Fondom potpisan je u svib</w:t>
      </w:r>
      <w:r>
        <w:rPr>
          <w:rFonts w:asciiTheme="minorHAnsi" w:eastAsiaTheme="minorHAnsi" w:hAnsiTheme="minorHAnsi" w:cstheme="minorHAnsi"/>
          <w:sz w:val="22"/>
          <w:szCs w:val="22"/>
          <w:lang w:eastAsia="en-US"/>
        </w:rPr>
        <w:t>nju</w:t>
      </w:r>
      <w:r w:rsidRPr="00FF421B">
        <w:rPr>
          <w:rFonts w:asciiTheme="minorHAnsi" w:eastAsiaTheme="minorHAnsi" w:hAnsiTheme="minorHAnsi" w:cstheme="minorHAnsi"/>
          <w:sz w:val="22"/>
          <w:szCs w:val="22"/>
          <w:lang w:eastAsia="en-US"/>
        </w:rPr>
        <w:t xml:space="preserve"> 2022. godine.</w:t>
      </w:r>
      <w:r w:rsidR="008F6A3E">
        <w:rPr>
          <w:rFonts w:asciiTheme="minorHAnsi" w:eastAsiaTheme="minorHAnsi" w:hAnsiTheme="minorHAnsi" w:cstheme="minorHAnsi"/>
          <w:sz w:val="22"/>
          <w:szCs w:val="22"/>
          <w:lang w:eastAsia="en-US"/>
        </w:rPr>
        <w:t xml:space="preserve"> </w:t>
      </w:r>
      <w:r w:rsidRPr="00FF421B">
        <w:rPr>
          <w:rFonts w:asciiTheme="minorHAnsi" w:eastAsiaTheme="minorHAnsi" w:hAnsiTheme="minorHAnsi" w:cstheme="minorHAnsi"/>
          <w:sz w:val="22"/>
          <w:szCs w:val="22"/>
          <w:lang w:eastAsia="en-US"/>
        </w:rPr>
        <w:t>Sustav se sastoji od web aplikacije i mobilne aplikacije. Cilj sustava je da se upiti građana riješe brzo, olakša se komunikacija i efikasnost te se povratno komunicira s građanima.</w:t>
      </w:r>
      <w:r>
        <w:rPr>
          <w:rFonts w:asciiTheme="minorHAnsi" w:eastAsiaTheme="minorHAnsi" w:hAnsiTheme="minorHAnsi" w:cstheme="minorHAnsi"/>
          <w:sz w:val="22"/>
          <w:szCs w:val="22"/>
          <w:lang w:eastAsia="en-US"/>
        </w:rPr>
        <w:t xml:space="preserve"> Vrijednost projekta je 438.750,00 kn. U 2022. godini </w:t>
      </w:r>
      <w:r w:rsidRPr="00FF421B">
        <w:rPr>
          <w:rFonts w:asciiTheme="minorHAnsi" w:eastAsiaTheme="minorHAnsi" w:hAnsiTheme="minorHAnsi" w:cstheme="minorHAnsi"/>
          <w:sz w:val="22"/>
          <w:szCs w:val="22"/>
          <w:lang w:eastAsia="en-US"/>
        </w:rPr>
        <w:t xml:space="preserve">pristupilo se uvođenju sustava digitalizacije gradske uprave, sklopljen </w:t>
      </w:r>
      <w:r w:rsidR="0043564D">
        <w:rPr>
          <w:rFonts w:asciiTheme="minorHAnsi" w:eastAsiaTheme="minorHAnsi" w:hAnsiTheme="minorHAnsi" w:cstheme="minorHAnsi"/>
          <w:sz w:val="22"/>
          <w:szCs w:val="22"/>
          <w:lang w:eastAsia="en-US"/>
        </w:rPr>
        <w:t xml:space="preserve">je </w:t>
      </w:r>
      <w:r w:rsidRPr="00FF421B">
        <w:rPr>
          <w:rFonts w:asciiTheme="minorHAnsi" w:eastAsiaTheme="minorHAnsi" w:hAnsiTheme="minorHAnsi" w:cstheme="minorHAnsi"/>
          <w:sz w:val="22"/>
          <w:szCs w:val="22"/>
          <w:lang w:eastAsia="en-US"/>
        </w:rPr>
        <w:t>Ugovor sa izvršiteljem usluge</w:t>
      </w:r>
      <w:r w:rsidR="0043564D">
        <w:rPr>
          <w:rFonts w:asciiTheme="minorHAnsi" w:eastAsiaTheme="minorHAnsi" w:hAnsiTheme="minorHAnsi" w:cstheme="minorHAnsi"/>
          <w:sz w:val="22"/>
          <w:szCs w:val="22"/>
          <w:lang w:eastAsia="en-US"/>
        </w:rPr>
        <w:t xml:space="preserve"> i </w:t>
      </w:r>
      <w:r w:rsidRPr="00FF421B">
        <w:rPr>
          <w:rFonts w:asciiTheme="minorHAnsi" w:eastAsiaTheme="minorHAnsi" w:hAnsiTheme="minorHAnsi" w:cstheme="minorHAnsi"/>
          <w:sz w:val="22"/>
          <w:szCs w:val="22"/>
          <w:lang w:eastAsia="en-US"/>
        </w:rPr>
        <w:t xml:space="preserve"> postupak implementacije </w:t>
      </w:r>
      <w:r w:rsidR="0043564D">
        <w:rPr>
          <w:rFonts w:asciiTheme="minorHAnsi" w:eastAsiaTheme="minorHAnsi" w:hAnsiTheme="minorHAnsi" w:cstheme="minorHAnsi"/>
          <w:sz w:val="22"/>
          <w:szCs w:val="22"/>
          <w:lang w:eastAsia="en-US"/>
        </w:rPr>
        <w:t xml:space="preserve">je </w:t>
      </w:r>
      <w:r w:rsidRPr="00FF421B">
        <w:rPr>
          <w:rFonts w:asciiTheme="minorHAnsi" w:eastAsiaTheme="minorHAnsi" w:hAnsiTheme="minorHAnsi" w:cstheme="minorHAnsi"/>
          <w:sz w:val="22"/>
          <w:szCs w:val="22"/>
          <w:lang w:eastAsia="en-US"/>
        </w:rPr>
        <w:t>u tijeku</w:t>
      </w:r>
      <w:r w:rsidR="00316672" w:rsidRPr="00AD68BB">
        <w:rPr>
          <w:rFonts w:asciiTheme="minorHAnsi" w:eastAsiaTheme="minorHAnsi" w:hAnsiTheme="minorHAnsi" w:cstheme="minorHAnsi"/>
          <w:sz w:val="22"/>
          <w:szCs w:val="22"/>
          <w:lang w:eastAsia="en-US"/>
        </w:rPr>
        <w:t>.</w:t>
      </w:r>
    </w:p>
    <w:p w14:paraId="76CC5D84" w14:textId="77777777" w:rsidR="00AD68BB" w:rsidRDefault="00AD68BB" w:rsidP="00AD68BB">
      <w:pPr>
        <w:pStyle w:val="StandardWeb"/>
        <w:shd w:val="clear" w:color="auto" w:fill="FFFFFF"/>
        <w:spacing w:before="0" w:beforeAutospacing="0" w:after="0" w:afterAutospacing="0" w:line="0" w:lineRule="atLeast"/>
        <w:ind w:left="714"/>
        <w:rPr>
          <w:rFonts w:asciiTheme="minorHAnsi" w:eastAsiaTheme="minorHAnsi" w:hAnsiTheme="minorHAnsi" w:cstheme="minorHAnsi"/>
          <w:sz w:val="22"/>
          <w:szCs w:val="22"/>
          <w:lang w:eastAsia="en-US"/>
        </w:rPr>
      </w:pPr>
    </w:p>
    <w:p w14:paraId="192C92F5" w14:textId="77777777" w:rsidR="00AD68BB" w:rsidRPr="00FF421B" w:rsidRDefault="00AD68BB" w:rsidP="00AD68BB">
      <w:pPr>
        <w:pStyle w:val="StandardWeb"/>
        <w:shd w:val="clear" w:color="auto" w:fill="FFFFFF"/>
        <w:spacing w:before="0" w:beforeAutospacing="0" w:after="0" w:afterAutospacing="0" w:line="0" w:lineRule="atLeast"/>
        <w:ind w:left="714"/>
        <w:rPr>
          <w:rFonts w:asciiTheme="minorHAnsi" w:eastAsiaTheme="minorHAnsi" w:hAnsiTheme="minorHAnsi" w:cstheme="minorHAnsi"/>
          <w:sz w:val="22"/>
          <w:szCs w:val="22"/>
          <w:lang w:eastAsia="en-US"/>
        </w:rPr>
      </w:pPr>
    </w:p>
    <w:p w14:paraId="5E0E7A2C" w14:textId="77777777" w:rsidR="007569F0" w:rsidRPr="00D3742F" w:rsidRDefault="00E36A9F" w:rsidP="009551F5">
      <w:pPr>
        <w:ind w:firstLine="360"/>
        <w:rPr>
          <w:rFonts w:cstheme="minorHAnsi"/>
          <w:b/>
          <w:bCs/>
        </w:rPr>
      </w:pPr>
      <w:r w:rsidRPr="00D3742F">
        <w:rPr>
          <w:rFonts w:cstheme="minorHAnsi"/>
          <w:b/>
          <w:bCs/>
        </w:rPr>
        <w:t xml:space="preserve">P1.5. Poticanje razvoja kulture i medija: </w:t>
      </w:r>
    </w:p>
    <w:p w14:paraId="6C71DA86" w14:textId="5CF502C3" w:rsidR="00E36A9F" w:rsidRPr="00AD68BB" w:rsidRDefault="00AD68BB" w:rsidP="00AD68BB">
      <w:pPr>
        <w:pStyle w:val="Odlomakpopisa"/>
        <w:numPr>
          <w:ilvl w:val="0"/>
          <w:numId w:val="5"/>
        </w:numPr>
        <w:spacing w:line="240" w:lineRule="auto"/>
        <w:rPr>
          <w:rFonts w:cstheme="minorHAnsi"/>
        </w:rPr>
      </w:pPr>
      <w:r w:rsidRPr="00AD68BB">
        <w:rPr>
          <w:rFonts w:cstheme="minorHAnsi"/>
        </w:rPr>
        <w:t>Grad Gospić je u suradnj</w:t>
      </w:r>
      <w:r>
        <w:rPr>
          <w:rFonts w:cstheme="minorHAnsi"/>
        </w:rPr>
        <w:t>i</w:t>
      </w:r>
      <w:r w:rsidRPr="00AD68BB">
        <w:rPr>
          <w:rFonts w:cstheme="minorHAnsi"/>
        </w:rPr>
        <w:t xml:space="preserve"> s ustanovama</w:t>
      </w:r>
      <w:r w:rsidR="00096AD0">
        <w:rPr>
          <w:rFonts w:cstheme="minorHAnsi"/>
        </w:rPr>
        <w:t>:</w:t>
      </w:r>
      <w:r w:rsidRPr="00AD68BB">
        <w:rPr>
          <w:rFonts w:cstheme="minorHAnsi"/>
        </w:rPr>
        <w:t xml:space="preserve"> </w:t>
      </w:r>
      <w:r w:rsidR="008F6A3E" w:rsidRPr="00AD68BB">
        <w:rPr>
          <w:rFonts w:cstheme="minorHAnsi"/>
        </w:rPr>
        <w:t>Pučkim otvorenim učilištem</w:t>
      </w:r>
      <w:r w:rsidR="00CA2ED9">
        <w:rPr>
          <w:rFonts w:cstheme="minorHAnsi"/>
        </w:rPr>
        <w:t xml:space="preserve"> </w:t>
      </w:r>
      <w:r w:rsidR="008F6A3E" w:rsidRPr="00CA2ED9">
        <w:rPr>
          <w:rFonts w:cstheme="minorHAnsi"/>
        </w:rPr>
        <w:t>„</w:t>
      </w:r>
      <w:r w:rsidR="008F6A3E" w:rsidRPr="00AD68BB">
        <w:rPr>
          <w:rFonts w:cstheme="minorHAnsi"/>
        </w:rPr>
        <w:t>Dr. Ante Starčević“ Gospić</w:t>
      </w:r>
      <w:r w:rsidR="008F6A3E">
        <w:rPr>
          <w:rFonts w:cstheme="minorHAnsi"/>
        </w:rPr>
        <w:t xml:space="preserve"> i </w:t>
      </w:r>
      <w:r w:rsidR="008F6A3E" w:rsidRPr="00AD68BB">
        <w:rPr>
          <w:rFonts w:cstheme="minorHAnsi"/>
        </w:rPr>
        <w:t>Kinom Korzo</w:t>
      </w:r>
      <w:r w:rsidR="008F6A3E">
        <w:rPr>
          <w:rFonts w:cstheme="minorHAnsi"/>
        </w:rPr>
        <w:t>, Kulturno Informativnim Centrom Gospić</w:t>
      </w:r>
      <w:r w:rsidR="00096AD0">
        <w:rPr>
          <w:rFonts w:cstheme="minorHAnsi"/>
        </w:rPr>
        <w:t xml:space="preserve"> (Radio Gospić),</w:t>
      </w:r>
      <w:r w:rsidR="00CA2ED9">
        <w:rPr>
          <w:rFonts w:cstheme="minorHAnsi"/>
        </w:rPr>
        <w:t xml:space="preserve"> </w:t>
      </w:r>
      <w:r w:rsidR="008F6A3E">
        <w:rPr>
          <w:rFonts w:cstheme="minorHAnsi"/>
        </w:rPr>
        <w:t xml:space="preserve">Muzejom Like Gospić i </w:t>
      </w:r>
      <w:r w:rsidRPr="00AD68BB">
        <w:rPr>
          <w:rFonts w:cstheme="minorHAnsi"/>
        </w:rPr>
        <w:t>Memorijalni</w:t>
      </w:r>
      <w:r w:rsidR="001D4F15">
        <w:rPr>
          <w:rFonts w:cstheme="minorHAnsi"/>
        </w:rPr>
        <w:t>m</w:t>
      </w:r>
      <w:r w:rsidR="008F6A3E">
        <w:rPr>
          <w:rFonts w:cstheme="minorHAnsi"/>
        </w:rPr>
        <w:t xml:space="preserve"> centrom Nikola Tesla Smiljan te Samostalnom narodnom knjižnicom Gospić </w:t>
      </w:r>
      <w:r w:rsidRPr="00AD68BB">
        <w:rPr>
          <w:rFonts w:cstheme="minorHAnsi"/>
        </w:rPr>
        <w:t xml:space="preserve"> </w:t>
      </w:r>
      <w:r w:rsidR="00096AD0">
        <w:rPr>
          <w:rFonts w:cstheme="minorHAnsi"/>
        </w:rPr>
        <w:t xml:space="preserve">poticao razvoj kulture i medija </w:t>
      </w:r>
      <w:r>
        <w:rPr>
          <w:rFonts w:cstheme="minorHAnsi"/>
        </w:rPr>
        <w:t>kroz organizaciju prigodnih programa,</w:t>
      </w:r>
      <w:r w:rsidR="00096AD0">
        <w:rPr>
          <w:rFonts w:cstheme="minorHAnsi"/>
        </w:rPr>
        <w:t xml:space="preserve"> predstava, koncerata i izložbi. </w:t>
      </w:r>
    </w:p>
    <w:p w14:paraId="66D94023" w14:textId="38A4BAB0" w:rsidR="00AA4812" w:rsidRPr="00AA4812" w:rsidRDefault="00AD68BB" w:rsidP="00AA4812">
      <w:pPr>
        <w:pStyle w:val="Odlomakpopisa"/>
        <w:numPr>
          <w:ilvl w:val="0"/>
          <w:numId w:val="5"/>
        </w:numPr>
        <w:spacing w:line="240" w:lineRule="auto"/>
        <w:rPr>
          <w:rFonts w:cstheme="minorHAnsi"/>
        </w:rPr>
      </w:pPr>
      <w:r>
        <w:rPr>
          <w:rFonts w:cstheme="minorHAnsi"/>
        </w:rPr>
        <w:t xml:space="preserve">Samostalna narodna knjižnica Gospić organizirala </w:t>
      </w:r>
      <w:r w:rsidR="00AA4812">
        <w:rPr>
          <w:rFonts w:cstheme="minorHAnsi"/>
        </w:rPr>
        <w:t xml:space="preserve">je </w:t>
      </w:r>
      <w:r>
        <w:rPr>
          <w:rFonts w:cstheme="minorHAnsi"/>
        </w:rPr>
        <w:t>niz književnih susreta</w:t>
      </w:r>
      <w:r w:rsidR="00DD4B8E" w:rsidRPr="00F84E36">
        <w:rPr>
          <w:rFonts w:cstheme="minorHAnsi"/>
        </w:rPr>
        <w:t xml:space="preserve"> i radionica</w:t>
      </w:r>
      <w:r w:rsidR="00F84E36">
        <w:rPr>
          <w:rFonts w:cstheme="minorHAnsi"/>
        </w:rPr>
        <w:t xml:space="preserve"> u cilju jačanja i poticanja čitalačkih vještina</w:t>
      </w:r>
      <w:r w:rsidR="00DD4B8E" w:rsidRPr="00F84E36">
        <w:rPr>
          <w:rFonts w:cstheme="minorHAnsi"/>
        </w:rPr>
        <w:t xml:space="preserve">, </w:t>
      </w:r>
      <w:r w:rsidR="00AA4812">
        <w:rPr>
          <w:rFonts w:cstheme="minorHAnsi"/>
        </w:rPr>
        <w:t xml:space="preserve">te je nabavila knjižnu </w:t>
      </w:r>
      <w:r w:rsidR="008F1233">
        <w:rPr>
          <w:rFonts w:cstheme="minorHAnsi"/>
        </w:rPr>
        <w:t xml:space="preserve">i ne knjižnu </w:t>
      </w:r>
      <w:r w:rsidR="00AA4812">
        <w:rPr>
          <w:rFonts w:cstheme="minorHAnsi"/>
        </w:rPr>
        <w:t xml:space="preserve">građu sredstvima Grada Gospića, Ministarstva kulture i vlastitim sredstvima. </w:t>
      </w:r>
    </w:p>
    <w:p w14:paraId="377E697D" w14:textId="294A8F26" w:rsidR="00F05753" w:rsidRDefault="00AA4812" w:rsidP="00E41D7A">
      <w:pPr>
        <w:pStyle w:val="Odlomakpopisa"/>
        <w:numPr>
          <w:ilvl w:val="0"/>
          <w:numId w:val="5"/>
        </w:numPr>
        <w:spacing w:line="240" w:lineRule="auto"/>
        <w:rPr>
          <w:rFonts w:cstheme="minorHAnsi"/>
        </w:rPr>
      </w:pPr>
      <w:r>
        <w:rPr>
          <w:rFonts w:cstheme="minorHAnsi"/>
        </w:rPr>
        <w:t xml:space="preserve">Grad Gospić </w:t>
      </w:r>
      <w:r w:rsidR="00096AD0">
        <w:rPr>
          <w:rFonts w:cstheme="minorHAnsi"/>
        </w:rPr>
        <w:t xml:space="preserve">osigurao </w:t>
      </w:r>
      <w:r w:rsidR="00C27B3E">
        <w:rPr>
          <w:rFonts w:cstheme="minorHAnsi"/>
        </w:rPr>
        <w:t xml:space="preserve">je </w:t>
      </w:r>
      <w:r w:rsidR="00EF5109">
        <w:rPr>
          <w:rFonts w:cstheme="minorHAnsi"/>
        </w:rPr>
        <w:t>znatna</w:t>
      </w:r>
      <w:r w:rsidR="00F05753">
        <w:rPr>
          <w:rFonts w:cstheme="minorHAnsi"/>
        </w:rPr>
        <w:t xml:space="preserve"> proračunsk</w:t>
      </w:r>
      <w:r w:rsidR="00EF5109">
        <w:rPr>
          <w:rFonts w:cstheme="minorHAnsi"/>
        </w:rPr>
        <w:t>a</w:t>
      </w:r>
      <w:r w:rsidR="00F05753">
        <w:rPr>
          <w:rFonts w:cstheme="minorHAnsi"/>
        </w:rPr>
        <w:t xml:space="preserve"> sredstava za trošak zaposlenika Kina Korzo, P</w:t>
      </w:r>
      <w:r w:rsidR="00EF5109">
        <w:rPr>
          <w:rFonts w:cstheme="minorHAnsi"/>
        </w:rPr>
        <w:t>učko</w:t>
      </w:r>
      <w:r>
        <w:rPr>
          <w:rFonts w:cstheme="minorHAnsi"/>
        </w:rPr>
        <w:t>g</w:t>
      </w:r>
      <w:r w:rsidR="00EF5109">
        <w:rPr>
          <w:rFonts w:cstheme="minorHAnsi"/>
        </w:rPr>
        <w:t xml:space="preserve"> otvoreno</w:t>
      </w:r>
      <w:r>
        <w:rPr>
          <w:rFonts w:cstheme="minorHAnsi"/>
        </w:rPr>
        <w:t xml:space="preserve">g </w:t>
      </w:r>
      <w:r w:rsidR="00EF5109">
        <w:rPr>
          <w:rFonts w:cstheme="minorHAnsi"/>
        </w:rPr>
        <w:t>učilišt</w:t>
      </w:r>
      <w:r>
        <w:rPr>
          <w:rFonts w:cstheme="minorHAnsi"/>
        </w:rPr>
        <w:t>a</w:t>
      </w:r>
      <w:r w:rsidR="005148CA" w:rsidRPr="005148CA">
        <w:rPr>
          <w:rFonts w:cstheme="minorHAnsi"/>
        </w:rPr>
        <w:t xml:space="preserve"> „</w:t>
      </w:r>
      <w:r w:rsidR="00EF5109">
        <w:rPr>
          <w:rFonts w:cstheme="minorHAnsi"/>
        </w:rPr>
        <w:t>D</w:t>
      </w:r>
      <w:r w:rsidR="00F05753">
        <w:rPr>
          <w:rFonts w:cstheme="minorHAnsi"/>
        </w:rPr>
        <w:t>r. Ante Starčević</w:t>
      </w:r>
      <w:r w:rsidR="00EF5109">
        <w:rPr>
          <w:rFonts w:cstheme="minorHAnsi"/>
        </w:rPr>
        <w:t>“ Gospić</w:t>
      </w:r>
      <w:r w:rsidR="00F05753">
        <w:rPr>
          <w:rFonts w:cstheme="minorHAnsi"/>
        </w:rPr>
        <w:t>, M</w:t>
      </w:r>
      <w:r w:rsidR="00EF5109">
        <w:rPr>
          <w:rFonts w:cstheme="minorHAnsi"/>
        </w:rPr>
        <w:t>emorijaln</w:t>
      </w:r>
      <w:r>
        <w:rPr>
          <w:rFonts w:cstheme="minorHAnsi"/>
        </w:rPr>
        <w:t>og</w:t>
      </w:r>
      <w:r w:rsidR="00EF5109">
        <w:rPr>
          <w:rFonts w:cstheme="minorHAnsi"/>
        </w:rPr>
        <w:t xml:space="preserve"> cent</w:t>
      </w:r>
      <w:r>
        <w:rPr>
          <w:rFonts w:cstheme="minorHAnsi"/>
        </w:rPr>
        <w:t>ra</w:t>
      </w:r>
      <w:r w:rsidR="00096AD0">
        <w:rPr>
          <w:rFonts w:cstheme="minorHAnsi"/>
        </w:rPr>
        <w:t xml:space="preserve"> Nikola Tesla</w:t>
      </w:r>
      <w:r w:rsidR="00CA2ED9">
        <w:rPr>
          <w:rFonts w:cstheme="minorHAnsi"/>
        </w:rPr>
        <w:t xml:space="preserve">, </w:t>
      </w:r>
      <w:r w:rsidR="00CA2ED9">
        <w:rPr>
          <w:rFonts w:cstheme="minorHAnsi"/>
        </w:rPr>
        <w:t>Muzeja Like Gospić</w:t>
      </w:r>
      <w:r w:rsidR="00F84E36">
        <w:rPr>
          <w:rFonts w:cstheme="minorHAnsi"/>
        </w:rPr>
        <w:t xml:space="preserve"> i </w:t>
      </w:r>
      <w:r w:rsidR="00F05753">
        <w:rPr>
          <w:rFonts w:cstheme="minorHAnsi"/>
        </w:rPr>
        <w:t>K</w:t>
      </w:r>
      <w:r w:rsidR="00F84E36">
        <w:rPr>
          <w:rFonts w:cstheme="minorHAnsi"/>
        </w:rPr>
        <w:t xml:space="preserve">ulturno </w:t>
      </w:r>
      <w:r w:rsidR="00EF5109">
        <w:rPr>
          <w:rFonts w:cstheme="minorHAnsi"/>
        </w:rPr>
        <w:t>I</w:t>
      </w:r>
      <w:r w:rsidR="00F84E36">
        <w:rPr>
          <w:rFonts w:cstheme="minorHAnsi"/>
        </w:rPr>
        <w:t xml:space="preserve">nformativnog </w:t>
      </w:r>
      <w:r w:rsidR="00EF5109">
        <w:rPr>
          <w:rFonts w:cstheme="minorHAnsi"/>
        </w:rPr>
        <w:t>C</w:t>
      </w:r>
      <w:r w:rsidR="00F84E36">
        <w:rPr>
          <w:rFonts w:cstheme="minorHAnsi"/>
        </w:rPr>
        <w:t>entra</w:t>
      </w:r>
      <w:r w:rsidR="00F05753">
        <w:rPr>
          <w:rFonts w:cstheme="minorHAnsi"/>
        </w:rPr>
        <w:t xml:space="preserve"> Gospić </w:t>
      </w:r>
      <w:r w:rsidR="00096AD0">
        <w:rPr>
          <w:rFonts w:cstheme="minorHAnsi"/>
        </w:rPr>
        <w:t xml:space="preserve">pri kojemu je i Radio Gospić </w:t>
      </w:r>
      <w:r w:rsidR="00EF5109">
        <w:rPr>
          <w:rFonts w:cstheme="minorHAnsi"/>
        </w:rPr>
        <w:t>te</w:t>
      </w:r>
      <w:r w:rsidR="00096AD0">
        <w:rPr>
          <w:rFonts w:cstheme="minorHAnsi"/>
        </w:rPr>
        <w:t xml:space="preserve"> </w:t>
      </w:r>
      <w:r w:rsidR="00EF5109">
        <w:rPr>
          <w:rFonts w:cstheme="minorHAnsi"/>
        </w:rPr>
        <w:t xml:space="preserve">na taj način </w:t>
      </w:r>
      <w:r w:rsidR="00096AD0">
        <w:rPr>
          <w:rFonts w:cstheme="minorHAnsi"/>
        </w:rPr>
        <w:t xml:space="preserve">osigurao </w:t>
      </w:r>
      <w:r w:rsidR="00F05753">
        <w:rPr>
          <w:rFonts w:cstheme="minorHAnsi"/>
        </w:rPr>
        <w:t>opstanak kulture i medija</w:t>
      </w:r>
      <w:r w:rsidR="00096AD0">
        <w:rPr>
          <w:rFonts w:cstheme="minorHAnsi"/>
        </w:rPr>
        <w:t xml:space="preserve"> te poticao kulture i medijske djelatnosti na daljnji kontinuirani razvoj. </w:t>
      </w:r>
      <w:r>
        <w:rPr>
          <w:rFonts w:cstheme="minorHAnsi"/>
        </w:rPr>
        <w:t xml:space="preserve"> </w:t>
      </w:r>
    </w:p>
    <w:p w14:paraId="07A1B409" w14:textId="7B95D2CE" w:rsidR="00C74B26" w:rsidRDefault="00C27B3E" w:rsidP="00C74B26">
      <w:pPr>
        <w:pStyle w:val="Odlomakpopisa"/>
        <w:numPr>
          <w:ilvl w:val="0"/>
          <w:numId w:val="5"/>
        </w:numPr>
        <w:spacing w:line="240" w:lineRule="auto"/>
        <w:rPr>
          <w:rFonts w:cstheme="minorHAnsi"/>
        </w:rPr>
      </w:pPr>
      <w:r>
        <w:rPr>
          <w:rFonts w:cstheme="minorHAnsi"/>
        </w:rPr>
        <w:t>I</w:t>
      </w:r>
      <w:r w:rsidR="00C74B26" w:rsidRPr="00487154">
        <w:rPr>
          <w:rFonts w:cstheme="minorHAnsi"/>
        </w:rPr>
        <w:t xml:space="preserve">zgrađena </w:t>
      </w:r>
      <w:r>
        <w:rPr>
          <w:rFonts w:cstheme="minorHAnsi"/>
        </w:rPr>
        <w:t xml:space="preserve">su dva </w:t>
      </w:r>
      <w:r w:rsidR="00C74B26" w:rsidRPr="00487154">
        <w:rPr>
          <w:rFonts w:cstheme="minorHAnsi"/>
        </w:rPr>
        <w:t xml:space="preserve">sportska igrališta, završena je prva faza izgradnje atletske staze, za koju je još u drugoj fazi potrebno </w:t>
      </w:r>
      <w:r w:rsidR="006849BC">
        <w:rPr>
          <w:rFonts w:cstheme="minorHAnsi"/>
        </w:rPr>
        <w:t>postaviti</w:t>
      </w:r>
      <w:r w:rsidR="00C74B26" w:rsidRPr="00487154">
        <w:rPr>
          <w:rFonts w:cstheme="minorHAnsi"/>
        </w:rPr>
        <w:t xml:space="preserve"> završni sloj i iscrt</w:t>
      </w:r>
      <w:r w:rsidR="006849BC">
        <w:rPr>
          <w:rFonts w:cstheme="minorHAnsi"/>
        </w:rPr>
        <w:t>ati linije</w:t>
      </w:r>
      <w:r w:rsidR="00C74B26" w:rsidRPr="00487154">
        <w:rPr>
          <w:rFonts w:cstheme="minorHAnsi"/>
        </w:rPr>
        <w:t>, te je izgrađeno pomoćno nogometno igralište s umjetnom travom ukupne vrijednosti 617.961,25 kn</w:t>
      </w:r>
      <w:r w:rsidR="00AA4812">
        <w:rPr>
          <w:rFonts w:cstheme="minorHAnsi"/>
        </w:rPr>
        <w:t xml:space="preserve">. </w:t>
      </w:r>
    </w:p>
    <w:p w14:paraId="618465A7" w14:textId="1D691274" w:rsidR="009551F5" w:rsidRPr="006B0867" w:rsidRDefault="008F1233" w:rsidP="00CA5BAB">
      <w:pPr>
        <w:pStyle w:val="Odlomakpopisa"/>
        <w:numPr>
          <w:ilvl w:val="0"/>
          <w:numId w:val="5"/>
        </w:numPr>
        <w:spacing w:line="240" w:lineRule="auto"/>
        <w:rPr>
          <w:rFonts w:cstheme="minorHAnsi"/>
          <w:i/>
          <w:iCs/>
        </w:rPr>
      </w:pPr>
      <w:r>
        <w:rPr>
          <w:rFonts w:cstheme="minorHAnsi"/>
        </w:rPr>
        <w:t xml:space="preserve">Grad </w:t>
      </w:r>
      <w:r w:rsidRPr="006B0867">
        <w:rPr>
          <w:rFonts w:cstheme="minorHAnsi"/>
        </w:rPr>
        <w:t>Gospić raspisao</w:t>
      </w:r>
      <w:r w:rsidR="00C27B3E">
        <w:rPr>
          <w:rFonts w:cstheme="minorHAnsi"/>
        </w:rPr>
        <w:t xml:space="preserve"> je</w:t>
      </w:r>
      <w:r w:rsidRPr="006B0867">
        <w:rPr>
          <w:rFonts w:cstheme="minorHAnsi"/>
        </w:rPr>
        <w:t xml:space="preserve"> Javni poziv za sufinanciranje programa/projekata sportskih udruga u iznosu od 7</w:t>
      </w:r>
      <w:r w:rsidR="006B0867" w:rsidRPr="006B0867">
        <w:rPr>
          <w:rFonts w:cstheme="minorHAnsi"/>
        </w:rPr>
        <w:t>49.900</w:t>
      </w:r>
      <w:r w:rsidRPr="006B0867">
        <w:rPr>
          <w:rFonts w:cstheme="minorHAnsi"/>
        </w:rPr>
        <w:t xml:space="preserve">,00 kuna </w:t>
      </w:r>
      <w:r w:rsidR="00C74B26" w:rsidRPr="006B0867">
        <w:rPr>
          <w:rFonts w:cstheme="minorHAnsi"/>
        </w:rPr>
        <w:t xml:space="preserve">s ciljem </w:t>
      </w:r>
      <w:r w:rsidR="00DE0340" w:rsidRPr="006B0867">
        <w:rPr>
          <w:rFonts w:cstheme="minorHAnsi"/>
        </w:rPr>
        <w:t>sufinanciranja aktivnosti za razvoj sporta</w:t>
      </w:r>
      <w:r w:rsidR="00DE0340">
        <w:rPr>
          <w:rFonts w:cstheme="minorHAnsi"/>
        </w:rPr>
        <w:t xml:space="preserve">. </w:t>
      </w:r>
      <w:r w:rsidR="006B0867">
        <w:rPr>
          <w:rFonts w:cstheme="minorHAnsi"/>
        </w:rPr>
        <w:t xml:space="preserve">Financijska potpora se definira u programskom području: </w:t>
      </w:r>
      <w:r w:rsidR="006B0867" w:rsidRPr="006B0867">
        <w:rPr>
          <w:rFonts w:cstheme="minorHAnsi"/>
          <w:i/>
          <w:iCs/>
        </w:rPr>
        <w:t xml:space="preserve">Trening, organiziranje i provođenje domaćih i međunarodnih natjecanja. </w:t>
      </w:r>
      <w:r w:rsidR="006B0867">
        <w:rPr>
          <w:rFonts w:cstheme="minorHAnsi"/>
        </w:rPr>
        <w:t xml:space="preserve">U 2022. godini Grad Gospić </w:t>
      </w:r>
      <w:r w:rsidR="009E4C73">
        <w:rPr>
          <w:rFonts w:cstheme="minorHAnsi"/>
        </w:rPr>
        <w:t>dodijelio</w:t>
      </w:r>
      <w:r w:rsidR="006B0867">
        <w:rPr>
          <w:rFonts w:cstheme="minorHAnsi"/>
        </w:rPr>
        <w:t xml:space="preserve"> je 9 financijski</w:t>
      </w:r>
      <w:r w:rsidR="009E4C73">
        <w:rPr>
          <w:rFonts w:cstheme="minorHAnsi"/>
        </w:rPr>
        <w:t>h</w:t>
      </w:r>
      <w:r w:rsidR="006B0867">
        <w:rPr>
          <w:rFonts w:cstheme="minorHAnsi"/>
        </w:rPr>
        <w:t xml:space="preserve"> potpora u </w:t>
      </w:r>
      <w:r w:rsidR="001D4F15">
        <w:rPr>
          <w:rFonts w:cstheme="minorHAnsi"/>
        </w:rPr>
        <w:t xml:space="preserve">ukupnom </w:t>
      </w:r>
      <w:r w:rsidR="006B0867">
        <w:rPr>
          <w:rFonts w:cstheme="minorHAnsi"/>
        </w:rPr>
        <w:t xml:space="preserve">iznosu od 700.000,00 kuna. </w:t>
      </w:r>
    </w:p>
    <w:p w14:paraId="2F3CB433" w14:textId="77777777" w:rsidR="00DE0340" w:rsidRPr="00DE0340" w:rsidRDefault="00DE0340" w:rsidP="00DE0340">
      <w:pPr>
        <w:pStyle w:val="Odlomakpopisa"/>
        <w:spacing w:line="240" w:lineRule="auto"/>
        <w:rPr>
          <w:rFonts w:cstheme="minorHAnsi"/>
        </w:rPr>
      </w:pPr>
    </w:p>
    <w:p w14:paraId="46D9DE05" w14:textId="77777777" w:rsidR="00BE15B3" w:rsidRDefault="00CA5BAB" w:rsidP="00BE15B3">
      <w:pPr>
        <w:rPr>
          <w:rFonts w:cstheme="minorHAnsi"/>
        </w:rPr>
      </w:pPr>
      <w:r>
        <w:rPr>
          <w:rFonts w:cstheme="minorHAnsi"/>
        </w:rPr>
        <w:t xml:space="preserve">Unutar razvojnog smjera </w:t>
      </w:r>
      <w:r w:rsidRPr="00CA5BAB">
        <w:rPr>
          <w:rFonts w:cstheme="minorHAnsi"/>
          <w:b/>
          <w:bCs/>
          <w:i/>
          <w:iCs/>
        </w:rPr>
        <w:t>RS2 Jačanje otpornosti na krize</w:t>
      </w:r>
      <w:r w:rsidR="006849BC">
        <w:rPr>
          <w:rFonts w:cstheme="minorHAnsi"/>
          <w:b/>
          <w:bCs/>
          <w:i/>
          <w:iCs/>
        </w:rPr>
        <w:t xml:space="preserve"> </w:t>
      </w:r>
      <w:r>
        <w:rPr>
          <w:rFonts w:cstheme="minorHAnsi"/>
        </w:rPr>
        <w:t xml:space="preserve">uvršteni su sljedeći ciljevi </w:t>
      </w:r>
      <w:r w:rsidR="009551F5">
        <w:rPr>
          <w:rFonts w:cstheme="minorHAnsi"/>
        </w:rPr>
        <w:t xml:space="preserve">i ostvareni sljedeći rezultati: </w:t>
      </w:r>
    </w:p>
    <w:p w14:paraId="2F274953" w14:textId="77777777" w:rsidR="00BE15B3" w:rsidRPr="00D3742F" w:rsidRDefault="00BE15B3" w:rsidP="00BE15B3">
      <w:pPr>
        <w:ind w:left="708"/>
        <w:rPr>
          <w:rFonts w:cstheme="minorHAnsi"/>
          <w:b/>
          <w:bCs/>
        </w:rPr>
      </w:pPr>
      <w:r w:rsidRPr="00D3742F">
        <w:rPr>
          <w:rFonts w:cstheme="minorHAnsi"/>
          <w:b/>
          <w:bCs/>
        </w:rPr>
        <w:t xml:space="preserve">SC5. Zdrav, aktivan i kvalitetan život: </w:t>
      </w:r>
    </w:p>
    <w:p w14:paraId="1134B106" w14:textId="77777777" w:rsidR="00BE15B3" w:rsidRPr="008D7E06" w:rsidRDefault="009E4C73" w:rsidP="00C64752">
      <w:pPr>
        <w:pStyle w:val="Odlomakpopisa"/>
        <w:numPr>
          <w:ilvl w:val="0"/>
          <w:numId w:val="5"/>
        </w:numPr>
        <w:spacing w:line="240" w:lineRule="auto"/>
        <w:rPr>
          <w:rFonts w:cstheme="minorHAnsi"/>
        </w:rPr>
      </w:pPr>
      <w:r>
        <w:rPr>
          <w:rFonts w:cstheme="minorHAnsi"/>
        </w:rPr>
        <w:t>U proračunu za 2022. godinu o</w:t>
      </w:r>
      <w:r w:rsidR="00C64752" w:rsidRPr="008D7E06">
        <w:rPr>
          <w:rFonts w:cstheme="minorHAnsi"/>
        </w:rPr>
        <w:t>sigurana su sredstva za na</w:t>
      </w:r>
      <w:r w:rsidR="003E0DC4">
        <w:rPr>
          <w:rFonts w:cstheme="minorHAnsi"/>
        </w:rPr>
        <w:t>josjetljiviju skupinu građana s</w:t>
      </w:r>
      <w:r w:rsidR="00C64752" w:rsidRPr="008D7E06">
        <w:rPr>
          <w:rFonts w:cstheme="minorHAnsi"/>
        </w:rPr>
        <w:t xml:space="preserve"> područja grada Gospića, kako bi se provodile mjere </w:t>
      </w:r>
      <w:r w:rsidR="00BE15B3" w:rsidRPr="008D7E06">
        <w:rPr>
          <w:rFonts w:cstheme="minorHAnsi"/>
        </w:rPr>
        <w:t>podmirivan</w:t>
      </w:r>
      <w:r w:rsidR="00C64752" w:rsidRPr="008D7E06">
        <w:rPr>
          <w:rFonts w:cstheme="minorHAnsi"/>
        </w:rPr>
        <w:t>ja</w:t>
      </w:r>
      <w:r w:rsidR="00BE15B3" w:rsidRPr="008D7E06">
        <w:rPr>
          <w:rFonts w:cstheme="minorHAnsi"/>
        </w:rPr>
        <w:t xml:space="preserve"> mjesečnih troškova </w:t>
      </w:r>
      <w:r w:rsidR="00C64752" w:rsidRPr="008D7E06">
        <w:rPr>
          <w:rFonts w:cstheme="minorHAnsi"/>
        </w:rPr>
        <w:t>stanovanja</w:t>
      </w:r>
      <w:r w:rsidR="003E0DC4">
        <w:rPr>
          <w:rFonts w:cstheme="minorHAnsi"/>
        </w:rPr>
        <w:t xml:space="preserve"> u skladu sa Zakonom o socijalnoj skrbi  te</w:t>
      </w:r>
      <w:r w:rsidR="00C64752" w:rsidRPr="008D7E06">
        <w:rPr>
          <w:rFonts w:cstheme="minorHAnsi"/>
        </w:rPr>
        <w:t xml:space="preserve"> isplaćivanja božićnica s ciljem </w:t>
      </w:r>
      <w:r w:rsidR="003E0DC4">
        <w:rPr>
          <w:rFonts w:cstheme="minorHAnsi"/>
        </w:rPr>
        <w:t xml:space="preserve">skrbi o najugroženijim članovima lokalne zajednice – nezaposlenima i umirovljenicima. </w:t>
      </w:r>
    </w:p>
    <w:p w14:paraId="2D77EBAD" w14:textId="77777777" w:rsidR="004E53E3" w:rsidRPr="008D7E06" w:rsidRDefault="004E53E3" w:rsidP="008D7E06">
      <w:pPr>
        <w:pStyle w:val="Odlomakpopisa"/>
        <w:numPr>
          <w:ilvl w:val="0"/>
          <w:numId w:val="5"/>
        </w:numPr>
        <w:spacing w:line="240" w:lineRule="auto"/>
        <w:rPr>
          <w:rFonts w:cstheme="minorHAnsi"/>
        </w:rPr>
      </w:pPr>
      <w:r w:rsidRPr="008D7E06">
        <w:rPr>
          <w:rFonts w:cstheme="minorHAnsi"/>
        </w:rPr>
        <w:t>Potpora roditeljima (skrbnicima) djece s teškoćama u razvoju - odobrava se roditeljima (skrbnicima) djece s teškoćama u razvoju do djetetove navršene 18. godine života i to jedan put godišnje. Visinu potpore roditeljima (skrbnicima) djece s teškoćama u razvoju određuje Gradonačelnik Grada Gospića za svaku proračunsku godinu. U 2022. godini potpora je iznosila 2.000,00 kn po djetetu.</w:t>
      </w:r>
    </w:p>
    <w:p w14:paraId="6C992409" w14:textId="77777777" w:rsidR="004E53E3" w:rsidRPr="008D7E06" w:rsidRDefault="004E53E3" w:rsidP="008D7E06">
      <w:pPr>
        <w:pStyle w:val="Odlomakpopisa"/>
        <w:numPr>
          <w:ilvl w:val="0"/>
          <w:numId w:val="5"/>
        </w:numPr>
        <w:spacing w:line="240" w:lineRule="auto"/>
        <w:rPr>
          <w:rFonts w:cstheme="minorHAnsi"/>
        </w:rPr>
      </w:pPr>
      <w:r w:rsidRPr="008D7E06">
        <w:rPr>
          <w:rFonts w:cstheme="minorHAnsi"/>
        </w:rPr>
        <w:t xml:space="preserve">Grad Gospić je do sada proveo dva projekta „Zaželi – Program zapošljavanja žena“ Fazu I u kojoj je bilo zaposleno 30 </w:t>
      </w:r>
      <w:r w:rsidR="009E4C73">
        <w:rPr>
          <w:rFonts w:cstheme="minorHAnsi"/>
        </w:rPr>
        <w:t>osoba</w:t>
      </w:r>
      <w:r w:rsidRPr="008D7E06">
        <w:rPr>
          <w:rFonts w:cstheme="minorHAnsi"/>
        </w:rPr>
        <w:t xml:space="preserve"> koje su pružale uslugu potpore i podrške 180 starijih osoba i osoba u nepovoljnom položaju, te Fazu II, u kojoj je bilo zaposleno 39 </w:t>
      </w:r>
      <w:r w:rsidR="009E4C73">
        <w:rPr>
          <w:rFonts w:cstheme="minorHAnsi"/>
        </w:rPr>
        <w:t>osoba</w:t>
      </w:r>
      <w:r w:rsidRPr="008D7E06">
        <w:rPr>
          <w:rFonts w:cstheme="minorHAnsi"/>
        </w:rPr>
        <w:t xml:space="preserve"> s područja Grada Gospića i Općine Lovinac koje su pružale uslugu potpore i podrške 222 starijih osoba i osoba su nepovoljnom položaju</w:t>
      </w:r>
      <w:r w:rsidR="009E4C73">
        <w:rPr>
          <w:rFonts w:cstheme="minorHAnsi"/>
        </w:rPr>
        <w:t xml:space="preserve">. </w:t>
      </w:r>
    </w:p>
    <w:p w14:paraId="4A086574" w14:textId="1E50230F" w:rsidR="004E53E3" w:rsidRDefault="004318D8" w:rsidP="00C64752">
      <w:pPr>
        <w:pStyle w:val="Odlomakpopisa"/>
        <w:numPr>
          <w:ilvl w:val="0"/>
          <w:numId w:val="5"/>
        </w:numPr>
        <w:spacing w:line="240" w:lineRule="auto"/>
        <w:rPr>
          <w:rFonts w:cstheme="minorHAnsi"/>
        </w:rPr>
      </w:pPr>
      <w:r w:rsidRPr="008D7E06">
        <w:rPr>
          <w:rFonts w:cstheme="minorHAnsi"/>
        </w:rPr>
        <w:t xml:space="preserve">U </w:t>
      </w:r>
      <w:r w:rsidRPr="004318D8">
        <w:rPr>
          <w:rFonts w:cstheme="minorHAnsi"/>
        </w:rPr>
        <w:t>programima javnih radova zapošljavaju se dugotrajno nezaposlene osobe s evidencije Hrvatskog zavoda za zapošljavanje, te osobe koje su u nepovoljnom položaju na tržištu rada</w:t>
      </w:r>
      <w:r>
        <w:rPr>
          <w:rFonts w:cstheme="minorHAnsi"/>
        </w:rPr>
        <w:t xml:space="preserve">, </w:t>
      </w:r>
      <w:r w:rsidRPr="004318D8">
        <w:rPr>
          <w:rFonts w:cstheme="minorHAnsi"/>
        </w:rPr>
        <w:t>a nalaz</w:t>
      </w:r>
      <w:r w:rsidR="009E4C73">
        <w:rPr>
          <w:rFonts w:cstheme="minorHAnsi"/>
        </w:rPr>
        <w:t>ile su</w:t>
      </w:r>
      <w:r w:rsidRPr="004318D8">
        <w:rPr>
          <w:rFonts w:cstheme="minorHAnsi"/>
        </w:rPr>
        <w:t xml:space="preserve"> se u evidenciji Zavoda.</w:t>
      </w:r>
    </w:p>
    <w:p w14:paraId="035DA848" w14:textId="2A648CDD" w:rsidR="00302123" w:rsidRDefault="00302123" w:rsidP="00302123">
      <w:pPr>
        <w:spacing w:line="240" w:lineRule="auto"/>
        <w:rPr>
          <w:rFonts w:cstheme="minorHAnsi"/>
        </w:rPr>
      </w:pPr>
    </w:p>
    <w:p w14:paraId="45082B20" w14:textId="77777777" w:rsidR="00302123" w:rsidRPr="009E4C73" w:rsidRDefault="00302123" w:rsidP="00302123">
      <w:pPr>
        <w:pStyle w:val="Odlomakpopisa"/>
        <w:rPr>
          <w:rFonts w:cstheme="minorHAnsi"/>
          <w:b/>
          <w:bCs/>
        </w:rPr>
      </w:pPr>
      <w:r w:rsidRPr="00D3742F">
        <w:rPr>
          <w:rFonts w:cstheme="minorHAnsi"/>
          <w:b/>
          <w:bCs/>
        </w:rPr>
        <w:t>SC</w:t>
      </w:r>
      <w:r>
        <w:rPr>
          <w:rFonts w:cstheme="minorHAnsi"/>
          <w:b/>
          <w:bCs/>
        </w:rPr>
        <w:t>6</w:t>
      </w:r>
      <w:r w:rsidRPr="00D3742F">
        <w:rPr>
          <w:rFonts w:cstheme="minorHAnsi"/>
          <w:b/>
          <w:bCs/>
        </w:rPr>
        <w:t>. Demografska obnova i bolji položaj obitelji</w:t>
      </w:r>
    </w:p>
    <w:p w14:paraId="656B4A75" w14:textId="77777777" w:rsidR="00302123" w:rsidRPr="004E53E3"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4E53E3">
        <w:rPr>
          <w:rFonts w:asciiTheme="minorHAnsi" w:eastAsiaTheme="minorHAnsi" w:hAnsiTheme="minorHAnsi" w:cstheme="minorHAnsi"/>
          <w:sz w:val="22"/>
          <w:szCs w:val="22"/>
          <w:lang w:eastAsia="en-US"/>
        </w:rPr>
        <w:t xml:space="preserve">Grad Gospić učenicima i studentima </w:t>
      </w:r>
      <w:r w:rsidRPr="008D7E06">
        <w:rPr>
          <w:rFonts w:asciiTheme="minorHAnsi" w:eastAsiaTheme="minorHAnsi" w:hAnsiTheme="minorHAnsi" w:cstheme="minorHAnsi"/>
          <w:sz w:val="22"/>
          <w:szCs w:val="22"/>
          <w:lang w:eastAsia="en-US"/>
        </w:rPr>
        <w:t xml:space="preserve">u školskoj/akademskoj 2021./2022. godini dodijelio je 32 stipendije, od kojih 12 za učenike srednjih škola s područja Grada Gospića i 20 za studente s područja Grada Gospića. Stipendije se dodjeljuju u više kategorija. </w:t>
      </w:r>
    </w:p>
    <w:p w14:paraId="6014508E" w14:textId="77777777" w:rsidR="00302123" w:rsidRPr="00693828"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693828">
        <w:rPr>
          <w:rFonts w:asciiTheme="minorHAnsi" w:eastAsiaTheme="minorHAnsi" w:hAnsiTheme="minorHAnsi" w:cstheme="minorHAnsi"/>
          <w:sz w:val="22"/>
          <w:szCs w:val="22"/>
          <w:lang w:eastAsia="en-US"/>
        </w:rPr>
        <w:t>Potpor</w:t>
      </w:r>
      <w:r>
        <w:rPr>
          <w:rFonts w:asciiTheme="minorHAnsi" w:eastAsiaTheme="minorHAnsi" w:hAnsiTheme="minorHAnsi" w:cstheme="minorHAnsi"/>
          <w:sz w:val="22"/>
          <w:szCs w:val="22"/>
          <w:lang w:eastAsia="en-US"/>
        </w:rPr>
        <w:t>u</w:t>
      </w:r>
      <w:r w:rsidRPr="00693828">
        <w:rPr>
          <w:rFonts w:asciiTheme="minorHAnsi" w:eastAsiaTheme="minorHAnsi" w:hAnsiTheme="minorHAnsi" w:cstheme="minorHAnsi"/>
          <w:sz w:val="22"/>
          <w:szCs w:val="22"/>
          <w:lang w:eastAsia="en-US"/>
        </w:rPr>
        <w:t xml:space="preserve"> roditeljima za novorođeno dijete - </w:t>
      </w:r>
      <w:r w:rsidRPr="008D7E06">
        <w:rPr>
          <w:rFonts w:asciiTheme="minorHAnsi" w:eastAsiaTheme="minorHAnsi" w:hAnsiTheme="minorHAnsi" w:cstheme="minorHAnsi"/>
          <w:sz w:val="22"/>
          <w:szCs w:val="22"/>
          <w:lang w:eastAsia="en-US"/>
        </w:rPr>
        <w:t xml:space="preserve">može ostvariti jedan od roditelja koji ima prebivalište na području Grada Gospića neprekidno najmanje 6 mjeseci prije dana podnošenja zahtjeva. </w:t>
      </w:r>
      <w:r w:rsidRPr="00693828">
        <w:rPr>
          <w:rFonts w:asciiTheme="minorHAnsi" w:eastAsiaTheme="minorHAnsi" w:hAnsiTheme="minorHAnsi" w:cstheme="minorHAnsi"/>
          <w:sz w:val="22"/>
          <w:szCs w:val="22"/>
          <w:lang w:eastAsia="en-US"/>
        </w:rPr>
        <w:t>Pravo na navedenu potporu roditelj može ostvariti do navršenih 6. mjeseci života djeteta.</w:t>
      </w:r>
      <w:r>
        <w:rPr>
          <w:rFonts w:asciiTheme="minorHAnsi" w:eastAsiaTheme="minorHAnsi" w:hAnsiTheme="minorHAnsi" w:cstheme="minorHAnsi"/>
          <w:sz w:val="22"/>
          <w:szCs w:val="22"/>
          <w:lang w:eastAsia="en-US"/>
        </w:rPr>
        <w:t xml:space="preserve"> </w:t>
      </w:r>
      <w:r w:rsidRPr="00693828">
        <w:rPr>
          <w:rFonts w:asciiTheme="minorHAnsi" w:eastAsiaTheme="minorHAnsi" w:hAnsiTheme="minorHAnsi" w:cstheme="minorHAnsi"/>
          <w:sz w:val="22"/>
          <w:szCs w:val="22"/>
          <w:lang w:eastAsia="en-US"/>
        </w:rPr>
        <w:t>Visinu potpore roditeljima za novorođeno dijete određuje Gradonačelnik Grada Gospića za svaku proračunsku godinu</w:t>
      </w:r>
      <w:r>
        <w:rPr>
          <w:rFonts w:asciiTheme="minorHAnsi" w:eastAsiaTheme="minorHAnsi" w:hAnsiTheme="minorHAnsi" w:cstheme="minorHAnsi"/>
          <w:sz w:val="22"/>
          <w:szCs w:val="22"/>
          <w:lang w:eastAsia="en-US"/>
        </w:rPr>
        <w:t xml:space="preserve"> u</w:t>
      </w:r>
      <w:r w:rsidRPr="00693828">
        <w:rPr>
          <w:rFonts w:asciiTheme="minorHAnsi" w:eastAsiaTheme="minorHAnsi" w:hAnsiTheme="minorHAnsi" w:cstheme="minorHAnsi"/>
          <w:sz w:val="22"/>
          <w:szCs w:val="22"/>
          <w:lang w:eastAsia="en-US"/>
        </w:rPr>
        <w:t xml:space="preserve"> 2022. godini potpora je iznosila 3.000,00 kn po novorođenom djetetu</w:t>
      </w:r>
      <w:r w:rsidRPr="008D7E06">
        <w:rPr>
          <w:rFonts w:asciiTheme="minorHAnsi" w:eastAsiaTheme="minorHAnsi" w:hAnsiTheme="minorHAnsi" w:cstheme="minorHAnsi"/>
          <w:sz w:val="22"/>
          <w:szCs w:val="22"/>
          <w:lang w:eastAsia="en-US"/>
        </w:rPr>
        <w:t>.</w:t>
      </w:r>
    </w:p>
    <w:p w14:paraId="06634090" w14:textId="77777777" w:rsidR="00302123" w:rsidRPr="008D7E06"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DB49E9">
        <w:rPr>
          <w:rFonts w:asciiTheme="minorHAnsi" w:eastAsiaTheme="minorHAnsi" w:hAnsiTheme="minorHAnsi" w:cstheme="minorHAnsi"/>
          <w:sz w:val="22"/>
          <w:szCs w:val="22"/>
          <w:lang w:eastAsia="en-US"/>
        </w:rPr>
        <w:t xml:space="preserve">Pomoć za nabavu školskih udžbenika i/ili drugih obrazovnih materijala - </w:t>
      </w:r>
      <w:r w:rsidRPr="008D7E06">
        <w:rPr>
          <w:rFonts w:asciiTheme="minorHAnsi" w:eastAsiaTheme="minorHAnsi" w:hAnsiTheme="minorHAnsi" w:cstheme="minorHAnsi"/>
          <w:sz w:val="22"/>
          <w:szCs w:val="22"/>
          <w:lang w:eastAsia="en-US"/>
        </w:rPr>
        <w:t xml:space="preserve">ostvaruje obitelj učenika osnovne i/ili srednje škole koja ima prebivalište na području Grada Gospića najmanje 6 mjeseci prije dana podnošenja zahtjeva, a čiji članovi zajedničkog kućanstva ispunjavaju uvjet prihoda. Navedena pomoć uplaćuje se roditelju (skrbniku) na račun. </w:t>
      </w:r>
    </w:p>
    <w:p w14:paraId="28B09A26" w14:textId="77777777" w:rsidR="00302123" w:rsidRPr="007332D5"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Grad Gospić je nabavio obvezni radni školski pribor za 940 učenika</w:t>
      </w:r>
      <w:r>
        <w:rPr>
          <w:rFonts w:asciiTheme="minorHAnsi" w:eastAsiaTheme="minorHAnsi" w:hAnsiTheme="minorHAnsi" w:cstheme="minorHAnsi"/>
          <w:sz w:val="22"/>
          <w:szCs w:val="22"/>
          <w:lang w:eastAsia="en-US"/>
        </w:rPr>
        <w:t xml:space="preserve"> osnovnih škola, osigurao je </w:t>
      </w:r>
      <w:r w:rsidRPr="008D7E06">
        <w:rPr>
          <w:rFonts w:asciiTheme="minorHAnsi" w:eastAsiaTheme="minorHAnsi" w:hAnsiTheme="minorHAnsi" w:cstheme="minorHAnsi"/>
          <w:sz w:val="22"/>
          <w:szCs w:val="22"/>
          <w:lang w:eastAsia="en-US"/>
        </w:rPr>
        <w:t>besplatan produženi boravak u Gospiću (dva razreda) i Ličkom Osiku (jedan razred</w:t>
      </w:r>
      <w:r>
        <w:rPr>
          <w:rFonts w:asciiTheme="minorHAnsi" w:eastAsiaTheme="minorHAnsi" w:hAnsiTheme="minorHAnsi" w:cstheme="minorHAnsi"/>
          <w:sz w:val="22"/>
          <w:szCs w:val="22"/>
          <w:lang w:eastAsia="en-US"/>
        </w:rPr>
        <w:t xml:space="preserve">). Temeljem Zakona o odgoju i obrazovanju u osnovnoj i srednjoj školi Grad Gospić u potpunosti je financirao prijevoz učenika do osnovne škole, te je </w:t>
      </w:r>
      <w:r w:rsidRPr="00C17290">
        <w:rPr>
          <w:rFonts w:asciiTheme="minorHAnsi" w:eastAsiaTheme="minorHAnsi" w:hAnsiTheme="minorHAnsi" w:cstheme="minorHAnsi"/>
          <w:sz w:val="22"/>
          <w:szCs w:val="22"/>
          <w:lang w:eastAsia="en-US"/>
        </w:rPr>
        <w:t>sufinancira</w:t>
      </w:r>
      <w:r>
        <w:rPr>
          <w:rFonts w:asciiTheme="minorHAnsi" w:eastAsiaTheme="minorHAnsi" w:hAnsiTheme="minorHAnsi" w:cstheme="minorHAnsi"/>
          <w:sz w:val="22"/>
          <w:szCs w:val="22"/>
          <w:lang w:eastAsia="en-US"/>
        </w:rPr>
        <w:t>o</w:t>
      </w:r>
      <w:r w:rsidRPr="00C17290">
        <w:rPr>
          <w:rFonts w:asciiTheme="minorHAnsi" w:eastAsiaTheme="minorHAnsi" w:hAnsiTheme="minorHAnsi" w:cstheme="minorHAnsi"/>
          <w:sz w:val="22"/>
          <w:szCs w:val="22"/>
          <w:lang w:eastAsia="en-US"/>
        </w:rPr>
        <w:t xml:space="preserve"> troškove prijevoza redovitim učenicima srednjih škola temeljem Odluke o sufinanciranju cijene javnog prijevoza redovitih učenika srednjih škola. </w:t>
      </w:r>
    </w:p>
    <w:p w14:paraId="1A16625F" w14:textId="77777777" w:rsidR="00302123" w:rsidRPr="008D7E06"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Provedbom projekta „</w:t>
      </w:r>
      <w:r w:rsidRPr="00177490">
        <w:rPr>
          <w:rFonts w:asciiTheme="minorHAnsi" w:eastAsiaTheme="minorHAnsi" w:hAnsiTheme="minorHAnsi" w:cstheme="minorHAnsi"/>
          <w:sz w:val="22"/>
          <w:szCs w:val="22"/>
          <w:lang w:eastAsia="en-US"/>
        </w:rPr>
        <w:t xml:space="preserve">U zagrljaju zdrave prehrane </w:t>
      </w:r>
      <w:r w:rsidRPr="008D7E06">
        <w:rPr>
          <w:rFonts w:asciiTheme="minorHAnsi" w:eastAsiaTheme="minorHAnsi" w:hAnsiTheme="minorHAnsi" w:cstheme="minorHAnsi"/>
          <w:sz w:val="22"/>
          <w:szCs w:val="22"/>
          <w:lang w:eastAsia="en-US"/>
        </w:rPr>
        <w:t>6</w:t>
      </w:r>
      <w:r w:rsidRPr="00177490">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177490">
        <w:rPr>
          <w:rFonts w:asciiTheme="minorHAnsi" w:eastAsiaTheme="minorHAnsi" w:hAnsiTheme="minorHAnsi" w:cstheme="minorHAnsi"/>
          <w:sz w:val="22"/>
          <w:szCs w:val="22"/>
          <w:lang w:eastAsia="en-US"/>
        </w:rPr>
        <w:t>kroz koji je osigurana</w:t>
      </w:r>
      <w:r>
        <w:rPr>
          <w:rFonts w:asciiTheme="minorHAnsi" w:eastAsiaTheme="minorHAnsi" w:hAnsiTheme="minorHAnsi" w:cstheme="minorHAnsi"/>
          <w:sz w:val="22"/>
          <w:szCs w:val="22"/>
          <w:lang w:eastAsia="en-US"/>
        </w:rPr>
        <w:t xml:space="preserve"> </w:t>
      </w:r>
      <w:r w:rsidRPr="00177490">
        <w:rPr>
          <w:rFonts w:asciiTheme="minorHAnsi" w:eastAsiaTheme="minorHAnsi" w:hAnsiTheme="minorHAnsi" w:cstheme="minorHAnsi"/>
          <w:sz w:val="22"/>
          <w:szCs w:val="22"/>
          <w:lang w:eastAsia="en-US"/>
        </w:rPr>
        <w:t>besplatna prehrana za 27</w:t>
      </w:r>
      <w:r>
        <w:rPr>
          <w:rFonts w:asciiTheme="minorHAnsi" w:eastAsiaTheme="minorHAnsi" w:hAnsiTheme="minorHAnsi" w:cstheme="minorHAnsi"/>
          <w:sz w:val="22"/>
          <w:szCs w:val="22"/>
          <w:lang w:eastAsia="en-US"/>
        </w:rPr>
        <w:t>4</w:t>
      </w:r>
      <w:r w:rsidRPr="00177490">
        <w:rPr>
          <w:rFonts w:asciiTheme="minorHAnsi" w:eastAsiaTheme="minorHAnsi" w:hAnsiTheme="minorHAnsi" w:cstheme="minorHAnsi"/>
          <w:sz w:val="22"/>
          <w:szCs w:val="22"/>
          <w:lang w:eastAsia="en-US"/>
        </w:rPr>
        <w:t xml:space="preserve"> učenika slabijeg imovinskog stanja u šk. godina 2021/2022. Podijeljeno je 42.108 obroka</w:t>
      </w:r>
      <w:r w:rsidRPr="008D7E06">
        <w:rPr>
          <w:rFonts w:asciiTheme="minorHAnsi" w:eastAsiaTheme="minorHAnsi" w:hAnsiTheme="minorHAnsi" w:cstheme="minorHAnsi"/>
          <w:sz w:val="22"/>
          <w:szCs w:val="22"/>
          <w:lang w:eastAsia="en-US"/>
        </w:rPr>
        <w:t>. Nastavkom projekta „U zagrljaju zdrave prehrane 7“,  u školskoj godini 2022./2023., u planu je osigurati besplatnu prehranu za 27</w:t>
      </w:r>
      <w:r>
        <w:rPr>
          <w:rFonts w:asciiTheme="minorHAnsi" w:eastAsiaTheme="minorHAnsi" w:hAnsiTheme="minorHAnsi" w:cstheme="minorHAnsi"/>
          <w:sz w:val="22"/>
          <w:szCs w:val="22"/>
          <w:lang w:eastAsia="en-US"/>
        </w:rPr>
        <w:t>4</w:t>
      </w:r>
      <w:r w:rsidRPr="008D7E06">
        <w:rPr>
          <w:rFonts w:asciiTheme="minorHAnsi" w:eastAsiaTheme="minorHAnsi" w:hAnsiTheme="minorHAnsi" w:cstheme="minorHAnsi"/>
          <w:sz w:val="22"/>
          <w:szCs w:val="22"/>
          <w:lang w:eastAsia="en-US"/>
        </w:rPr>
        <w:t xml:space="preserve"> učenika slabijeg imovinskog stanja. </w:t>
      </w:r>
    </w:p>
    <w:p w14:paraId="67C8A3B0" w14:textId="77777777" w:rsidR="00302123" w:rsidRPr="008D7E06"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Grad Gospić</w:t>
      </w:r>
      <w:r>
        <w:rPr>
          <w:rFonts w:asciiTheme="minorHAnsi" w:eastAsiaTheme="minorHAnsi" w:hAnsiTheme="minorHAnsi" w:cstheme="minorHAnsi"/>
          <w:sz w:val="22"/>
          <w:szCs w:val="22"/>
          <w:lang w:eastAsia="en-US"/>
        </w:rPr>
        <w:t xml:space="preserve"> </w:t>
      </w:r>
      <w:r w:rsidRPr="008D7E06">
        <w:rPr>
          <w:rFonts w:asciiTheme="minorHAnsi" w:eastAsiaTheme="minorHAnsi" w:hAnsiTheme="minorHAnsi" w:cstheme="minorHAnsi"/>
          <w:sz w:val="22"/>
          <w:szCs w:val="22"/>
          <w:lang w:eastAsia="en-US"/>
        </w:rPr>
        <w:t xml:space="preserve">pripremio </w:t>
      </w:r>
      <w:r>
        <w:rPr>
          <w:rFonts w:asciiTheme="minorHAnsi" w:eastAsiaTheme="minorHAnsi" w:hAnsiTheme="minorHAnsi" w:cstheme="minorHAnsi"/>
          <w:sz w:val="22"/>
          <w:szCs w:val="22"/>
          <w:lang w:eastAsia="en-US"/>
        </w:rPr>
        <w:t xml:space="preserve">je </w:t>
      </w:r>
      <w:r w:rsidRPr="008D7E06">
        <w:rPr>
          <w:rFonts w:asciiTheme="minorHAnsi" w:eastAsiaTheme="minorHAnsi" w:hAnsiTheme="minorHAnsi" w:cstheme="minorHAnsi"/>
          <w:sz w:val="22"/>
          <w:szCs w:val="22"/>
          <w:lang w:eastAsia="en-US"/>
        </w:rPr>
        <w:t>dokumentaciju za prijavu na natječaj NPOO za gradnju novog krila sportske dvorane</w:t>
      </w:r>
      <w:r>
        <w:rPr>
          <w:rFonts w:asciiTheme="minorHAnsi" w:eastAsiaTheme="minorHAnsi" w:hAnsiTheme="minorHAnsi" w:cstheme="minorHAnsi"/>
          <w:sz w:val="22"/>
          <w:szCs w:val="22"/>
          <w:lang w:eastAsia="en-US"/>
        </w:rPr>
        <w:t xml:space="preserve"> koje će koristiti za </w:t>
      </w:r>
      <w:r w:rsidRPr="008D7E06">
        <w:rPr>
          <w:rFonts w:asciiTheme="minorHAnsi" w:eastAsiaTheme="minorHAnsi" w:hAnsiTheme="minorHAnsi" w:cstheme="minorHAnsi"/>
          <w:sz w:val="22"/>
          <w:szCs w:val="22"/>
          <w:lang w:eastAsia="en-US"/>
        </w:rPr>
        <w:t xml:space="preserve">brojne sportske, školske, kulturne i druge aktivnosti. </w:t>
      </w:r>
    </w:p>
    <w:p w14:paraId="173C743A" w14:textId="77777777" w:rsidR="00302123" w:rsidRPr="008D7E06"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2A70E8">
        <w:rPr>
          <w:rFonts w:asciiTheme="minorHAnsi" w:eastAsiaTheme="minorHAnsi" w:hAnsiTheme="minorHAnsi" w:cstheme="minorHAnsi"/>
          <w:sz w:val="22"/>
          <w:szCs w:val="22"/>
          <w:lang w:eastAsia="en-US"/>
        </w:rPr>
        <w:t xml:space="preserve">Provedbom projekta </w:t>
      </w:r>
      <w:r>
        <w:rPr>
          <w:rFonts w:asciiTheme="minorHAnsi" w:eastAsiaTheme="minorHAnsi" w:hAnsiTheme="minorHAnsi" w:cstheme="minorHAnsi"/>
          <w:sz w:val="22"/>
          <w:szCs w:val="22"/>
          <w:lang w:eastAsia="en-US"/>
        </w:rPr>
        <w:t>„</w:t>
      </w:r>
      <w:r w:rsidRPr="002A70E8">
        <w:rPr>
          <w:rFonts w:asciiTheme="minorHAnsi" w:eastAsiaTheme="minorHAnsi" w:hAnsiTheme="minorHAnsi" w:cstheme="minorHAnsi"/>
          <w:sz w:val="22"/>
          <w:szCs w:val="22"/>
          <w:lang w:eastAsia="en-US"/>
        </w:rPr>
        <w:t xml:space="preserve">Sretni mališani“ osiguran </w:t>
      </w:r>
      <w:r w:rsidRPr="008D7E06">
        <w:rPr>
          <w:rFonts w:asciiTheme="minorHAnsi" w:eastAsiaTheme="minorHAnsi" w:hAnsiTheme="minorHAnsi" w:cstheme="minorHAnsi"/>
          <w:sz w:val="22"/>
          <w:szCs w:val="22"/>
          <w:lang w:eastAsia="en-US"/>
        </w:rPr>
        <w:t xml:space="preserve">je </w:t>
      </w:r>
      <w:r w:rsidRPr="002A70E8">
        <w:rPr>
          <w:rFonts w:asciiTheme="minorHAnsi" w:eastAsiaTheme="minorHAnsi" w:hAnsiTheme="minorHAnsi" w:cstheme="minorHAnsi"/>
          <w:sz w:val="22"/>
          <w:szCs w:val="22"/>
          <w:lang w:eastAsia="en-US"/>
        </w:rPr>
        <w:t>besplatan boravak u Dječjem vrtiću Pahuljica u Gospiću</w:t>
      </w:r>
      <w:r>
        <w:rPr>
          <w:rFonts w:asciiTheme="minorHAnsi" w:eastAsiaTheme="minorHAnsi" w:hAnsiTheme="minorHAnsi" w:cstheme="minorHAnsi"/>
          <w:sz w:val="22"/>
          <w:szCs w:val="22"/>
          <w:lang w:eastAsia="en-US"/>
        </w:rPr>
        <w:t xml:space="preserve"> </w:t>
      </w:r>
      <w:r w:rsidRPr="002A70E8">
        <w:rPr>
          <w:rFonts w:asciiTheme="minorHAnsi" w:eastAsiaTheme="minorHAnsi" w:hAnsiTheme="minorHAnsi" w:cstheme="minorHAnsi"/>
          <w:sz w:val="22"/>
          <w:szCs w:val="22"/>
          <w:lang w:eastAsia="en-US"/>
        </w:rPr>
        <w:t xml:space="preserve">i </w:t>
      </w:r>
      <w:r w:rsidRPr="008D7E06">
        <w:rPr>
          <w:rFonts w:asciiTheme="minorHAnsi" w:eastAsiaTheme="minorHAnsi" w:hAnsiTheme="minorHAnsi" w:cstheme="minorHAnsi"/>
          <w:sz w:val="22"/>
          <w:szCs w:val="22"/>
          <w:lang w:eastAsia="en-US"/>
        </w:rPr>
        <w:t xml:space="preserve">područnom vrtiću u </w:t>
      </w:r>
      <w:r w:rsidRPr="002A70E8">
        <w:rPr>
          <w:rFonts w:asciiTheme="minorHAnsi" w:eastAsiaTheme="minorHAnsi" w:hAnsiTheme="minorHAnsi" w:cstheme="minorHAnsi"/>
          <w:sz w:val="22"/>
          <w:szCs w:val="22"/>
          <w:lang w:eastAsia="en-US"/>
        </w:rPr>
        <w:t xml:space="preserve">Perušiću za 32 djece. U navedenom projektu je zaposleno 9 osoba. </w:t>
      </w:r>
    </w:p>
    <w:p w14:paraId="05438E05" w14:textId="77777777" w:rsidR="00302123" w:rsidRPr="008D7E06"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Projektom</w:t>
      </w:r>
      <w:r>
        <w:rPr>
          <w:rFonts w:asciiTheme="minorHAnsi" w:eastAsiaTheme="minorHAnsi" w:hAnsiTheme="minorHAnsi" w:cstheme="minorHAnsi"/>
          <w:sz w:val="22"/>
          <w:szCs w:val="22"/>
          <w:lang w:eastAsia="en-US"/>
        </w:rPr>
        <w:t xml:space="preserve"> </w:t>
      </w:r>
      <w:r w:rsidRPr="008D7E06">
        <w:rPr>
          <w:rFonts w:asciiTheme="minorHAnsi" w:eastAsiaTheme="minorHAnsi" w:hAnsiTheme="minorHAnsi" w:cstheme="minorHAnsi"/>
          <w:sz w:val="22"/>
          <w:szCs w:val="22"/>
          <w:lang w:eastAsia="en-US"/>
        </w:rPr>
        <w:t>„Korak prema jednakosti</w:t>
      </w:r>
      <w:r>
        <w:rPr>
          <w:rFonts w:asciiTheme="minorHAnsi" w:eastAsiaTheme="minorHAnsi" w:hAnsiTheme="minorHAnsi" w:cstheme="minorHAnsi"/>
          <w:sz w:val="22"/>
          <w:szCs w:val="22"/>
          <w:lang w:eastAsia="en-US"/>
        </w:rPr>
        <w:t xml:space="preserve"> 3</w:t>
      </w:r>
      <w:r w:rsidRPr="008D7E06">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Pr="008D7E06">
        <w:rPr>
          <w:rFonts w:asciiTheme="minorHAnsi" w:eastAsiaTheme="minorHAnsi" w:hAnsiTheme="minorHAnsi" w:cstheme="minorHAnsi"/>
          <w:sz w:val="22"/>
          <w:szCs w:val="22"/>
          <w:lang w:eastAsia="en-US"/>
        </w:rPr>
        <w:t xml:space="preserve">osigurana su sredstva za rad pomoćnika u nastavi s učenicima s teškoćama u Osnovnoj školi dr. Jure </w:t>
      </w:r>
      <w:proofErr w:type="spellStart"/>
      <w:r w:rsidRPr="008D7E06">
        <w:rPr>
          <w:rFonts w:asciiTheme="minorHAnsi" w:eastAsiaTheme="minorHAnsi" w:hAnsiTheme="minorHAnsi" w:cstheme="minorHAnsi"/>
          <w:sz w:val="22"/>
          <w:szCs w:val="22"/>
          <w:lang w:eastAsia="en-US"/>
        </w:rPr>
        <w:t>Turića</w:t>
      </w:r>
      <w:proofErr w:type="spellEnd"/>
      <w:r w:rsidRPr="008D7E06">
        <w:rPr>
          <w:rFonts w:asciiTheme="minorHAnsi" w:eastAsiaTheme="minorHAnsi" w:hAnsiTheme="minorHAnsi" w:cstheme="minorHAnsi"/>
          <w:sz w:val="22"/>
          <w:szCs w:val="22"/>
          <w:lang w:eastAsia="en-US"/>
        </w:rPr>
        <w:t xml:space="preserve"> u Gospiću</w:t>
      </w:r>
      <w:r>
        <w:rPr>
          <w:rFonts w:asciiTheme="minorHAnsi" w:eastAsiaTheme="minorHAnsi" w:hAnsiTheme="minorHAnsi" w:cstheme="minorHAnsi"/>
          <w:sz w:val="22"/>
          <w:szCs w:val="22"/>
          <w:lang w:eastAsia="en-US"/>
        </w:rPr>
        <w:t xml:space="preserve"> i </w:t>
      </w:r>
      <w:r w:rsidRPr="008D7E06">
        <w:rPr>
          <w:rFonts w:asciiTheme="minorHAnsi" w:eastAsiaTheme="minorHAnsi" w:hAnsiTheme="minorHAnsi" w:cstheme="minorHAnsi"/>
          <w:sz w:val="22"/>
          <w:szCs w:val="22"/>
          <w:lang w:eastAsia="en-US"/>
        </w:rPr>
        <w:t xml:space="preserve">Osnovnoj školi dr. Franje Tuđmana Lički Osik. U navedenom projektu je zaposleno 20 osoba.  </w:t>
      </w:r>
    </w:p>
    <w:p w14:paraId="233CF4E4" w14:textId="38940F10" w:rsidR="00302123" w:rsidRPr="00302123" w:rsidRDefault="00302123" w:rsidP="00302123">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U</w:t>
      </w:r>
      <w:r>
        <w:rPr>
          <w:rFonts w:asciiTheme="minorHAnsi" w:eastAsiaTheme="minorHAnsi" w:hAnsiTheme="minorHAnsi" w:cstheme="minorHAnsi"/>
          <w:sz w:val="22"/>
          <w:szCs w:val="22"/>
          <w:lang w:eastAsia="en-US"/>
        </w:rPr>
        <w:t xml:space="preserve"> </w:t>
      </w:r>
      <w:r w:rsidRPr="008D7E06">
        <w:rPr>
          <w:rFonts w:asciiTheme="minorHAnsi" w:eastAsiaTheme="minorHAnsi" w:hAnsiTheme="minorHAnsi" w:cstheme="minorHAnsi"/>
          <w:sz w:val="22"/>
          <w:szCs w:val="22"/>
          <w:lang w:eastAsia="en-US"/>
        </w:rPr>
        <w:t xml:space="preserve">2023. godini planirana je nadogradnja Dječjeg vrtića Pahuljica u Gospiću za novih 5 skupina, projektna dokumentacija predana na e-konferenciju u svrhu ishođenja građevinske dozvole. </w:t>
      </w:r>
    </w:p>
    <w:p w14:paraId="221D9394" w14:textId="77777777" w:rsidR="00C95273" w:rsidRPr="00D3742F" w:rsidRDefault="00C95273" w:rsidP="00C95273">
      <w:pPr>
        <w:ind w:firstLine="708"/>
        <w:rPr>
          <w:rFonts w:cstheme="minorHAnsi"/>
          <w:b/>
          <w:bCs/>
        </w:rPr>
      </w:pPr>
      <w:r w:rsidRPr="00D3742F">
        <w:rPr>
          <w:rFonts w:cstheme="minorHAnsi"/>
          <w:b/>
          <w:bCs/>
        </w:rPr>
        <w:t xml:space="preserve">SC7. Sigurnost za stabilan razvoj: </w:t>
      </w:r>
    </w:p>
    <w:p w14:paraId="73A758FF" w14:textId="5AEE8E94" w:rsidR="00C95273" w:rsidRPr="00C27B3E" w:rsidRDefault="00C95273" w:rsidP="00C27B3E">
      <w:pPr>
        <w:pStyle w:val="Odlomakpopisa"/>
        <w:numPr>
          <w:ilvl w:val="0"/>
          <w:numId w:val="5"/>
        </w:numPr>
        <w:spacing w:line="240" w:lineRule="auto"/>
        <w:rPr>
          <w:rFonts w:cstheme="minorHAnsi"/>
        </w:rPr>
      </w:pPr>
      <w:r>
        <w:rPr>
          <w:rFonts w:cstheme="minorHAnsi"/>
        </w:rPr>
        <w:t>U 2022. godini Grad Gospić su</w:t>
      </w:r>
      <w:r w:rsidRPr="007B56B3">
        <w:rPr>
          <w:rFonts w:cstheme="minorHAnsi"/>
        </w:rPr>
        <w:t xml:space="preserve">financira rad </w:t>
      </w:r>
      <w:r>
        <w:rPr>
          <w:rFonts w:cstheme="minorHAnsi"/>
        </w:rPr>
        <w:t>ustanova/</w:t>
      </w:r>
      <w:r w:rsidRPr="007B56B3">
        <w:rPr>
          <w:rFonts w:cstheme="minorHAnsi"/>
        </w:rPr>
        <w:t>udruga u sustavu civilne zaštite - Gorsk</w:t>
      </w:r>
      <w:r w:rsidR="001D4F15">
        <w:rPr>
          <w:rFonts w:cstheme="minorHAnsi"/>
        </w:rPr>
        <w:t>e</w:t>
      </w:r>
      <w:r w:rsidRPr="007B56B3">
        <w:rPr>
          <w:rFonts w:cstheme="minorHAnsi"/>
        </w:rPr>
        <w:t xml:space="preserve"> služb</w:t>
      </w:r>
      <w:r w:rsidR="001D4F15">
        <w:rPr>
          <w:rFonts w:cstheme="minorHAnsi"/>
        </w:rPr>
        <w:t>e</w:t>
      </w:r>
      <w:r w:rsidRPr="007B56B3">
        <w:rPr>
          <w:rFonts w:cstheme="minorHAnsi"/>
        </w:rPr>
        <w:t xml:space="preserve"> spašavanja, Crveni križ, Javn</w:t>
      </w:r>
      <w:r w:rsidR="001D4F15">
        <w:rPr>
          <w:rFonts w:cstheme="minorHAnsi"/>
        </w:rPr>
        <w:t>u</w:t>
      </w:r>
      <w:r w:rsidRPr="007B56B3">
        <w:rPr>
          <w:rFonts w:cstheme="minorHAnsi"/>
        </w:rPr>
        <w:t xml:space="preserve"> vatrogasn</w:t>
      </w:r>
      <w:r w:rsidR="001D4F15">
        <w:rPr>
          <w:rFonts w:cstheme="minorHAnsi"/>
        </w:rPr>
        <w:t>u</w:t>
      </w:r>
      <w:r w:rsidRPr="007B56B3">
        <w:rPr>
          <w:rFonts w:cstheme="minorHAnsi"/>
        </w:rPr>
        <w:t xml:space="preserve"> postrojb</w:t>
      </w:r>
      <w:r w:rsidR="001D4F15">
        <w:rPr>
          <w:rFonts w:cstheme="minorHAnsi"/>
        </w:rPr>
        <w:t>u</w:t>
      </w:r>
      <w:r w:rsidRPr="007B56B3">
        <w:rPr>
          <w:rFonts w:cstheme="minorHAnsi"/>
        </w:rPr>
        <w:t>, DVD Pazarišta i Vatrogasn</w:t>
      </w:r>
      <w:r w:rsidR="001D4F15">
        <w:rPr>
          <w:rFonts w:cstheme="minorHAnsi"/>
        </w:rPr>
        <w:t>u</w:t>
      </w:r>
      <w:r w:rsidRPr="007B56B3">
        <w:rPr>
          <w:rFonts w:cstheme="minorHAnsi"/>
        </w:rPr>
        <w:t xml:space="preserve"> zajednic</w:t>
      </w:r>
      <w:r w:rsidR="001D4F15">
        <w:rPr>
          <w:rFonts w:cstheme="minorHAnsi"/>
        </w:rPr>
        <w:t>u</w:t>
      </w:r>
      <w:r w:rsidR="00C27B3E">
        <w:rPr>
          <w:rFonts w:cstheme="minorHAnsi"/>
        </w:rPr>
        <w:t xml:space="preserve">, te </w:t>
      </w:r>
      <w:r w:rsidRPr="00C27B3E">
        <w:rPr>
          <w:rFonts w:cstheme="minorHAnsi"/>
        </w:rPr>
        <w:t>je pokrenuo postupak izrade projektne dokumentacije - idejnog rješenja, glavnog i izvedbenog projekta sa uključenim elaboratima i ostalom pratećom dokumentacijom potrebnom za izgradnju Centra za zaštitu i spašavanje Grada Gospića koja je prijavljena na Javni poziv</w:t>
      </w:r>
      <w:r w:rsidRPr="00C27B3E">
        <w:rPr>
          <w:rFonts w:cstheme="minorHAnsi"/>
          <w:i/>
          <w:iCs/>
        </w:rPr>
        <w:t xml:space="preserve"> „Priprema projektno-tehničke dokumentacije za projekte u području digitalne transformacije i zelene tranzicije“.  </w:t>
      </w:r>
    </w:p>
    <w:p w14:paraId="35EDCA9A" w14:textId="77777777" w:rsidR="00302123" w:rsidRPr="00C95273" w:rsidRDefault="00302123" w:rsidP="00302123">
      <w:pPr>
        <w:spacing w:line="240" w:lineRule="auto"/>
      </w:pPr>
    </w:p>
    <w:p w14:paraId="1B644A30" w14:textId="77777777" w:rsidR="007F5E2F" w:rsidRDefault="007F5E2F" w:rsidP="002C3692">
      <w:pPr>
        <w:rPr>
          <w:rFonts w:cstheme="minorHAnsi"/>
        </w:rPr>
      </w:pPr>
      <w:r>
        <w:rPr>
          <w:rFonts w:cstheme="minorHAnsi"/>
        </w:rPr>
        <w:t xml:space="preserve">Unutar razvojnog smjera </w:t>
      </w:r>
      <w:r w:rsidRPr="007F5E2F">
        <w:rPr>
          <w:rFonts w:cstheme="minorHAnsi"/>
          <w:b/>
          <w:bCs/>
          <w:i/>
          <w:iCs/>
        </w:rPr>
        <w:t>RS3 Zelena i digitalna tranzicija</w:t>
      </w:r>
      <w:r>
        <w:rPr>
          <w:rFonts w:cstheme="minorHAnsi"/>
        </w:rPr>
        <w:t xml:space="preserve"> uvršteni su sljedeći ciljevi i ostvareni sljedeći rezultati: </w:t>
      </w:r>
    </w:p>
    <w:p w14:paraId="717ED0BA" w14:textId="77777777" w:rsidR="00D4022C" w:rsidRPr="00AC57A6" w:rsidRDefault="00DA3309" w:rsidP="00AC57A6">
      <w:pPr>
        <w:pStyle w:val="Odlomakpopisa"/>
        <w:rPr>
          <w:rFonts w:cstheme="minorHAnsi"/>
          <w:b/>
          <w:bCs/>
        </w:rPr>
      </w:pPr>
      <w:r w:rsidRPr="00D3742F">
        <w:rPr>
          <w:rFonts w:cstheme="minorHAnsi"/>
          <w:b/>
          <w:bCs/>
        </w:rPr>
        <w:t>SC8. E</w:t>
      </w:r>
      <w:r w:rsidR="00F96E78" w:rsidRPr="00D3742F">
        <w:rPr>
          <w:rFonts w:cstheme="minorHAnsi"/>
          <w:b/>
          <w:bCs/>
        </w:rPr>
        <w:t>kološka i energetska tranzicija za klimatsku neutralnost</w:t>
      </w:r>
      <w:r w:rsidR="007F5E2F" w:rsidRPr="00D3742F">
        <w:rPr>
          <w:rFonts w:cstheme="minorHAnsi"/>
          <w:b/>
          <w:bCs/>
        </w:rPr>
        <w:t xml:space="preserve">: </w:t>
      </w:r>
    </w:p>
    <w:p w14:paraId="291A5FBD" w14:textId="77777777" w:rsidR="007F5E2F" w:rsidRPr="008D7E06" w:rsidRDefault="00C95273" w:rsidP="008D7E06">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 xml:space="preserve">U tijeku je </w:t>
      </w:r>
      <w:r w:rsidR="0065600D" w:rsidRPr="008D7E06">
        <w:rPr>
          <w:rFonts w:asciiTheme="minorHAnsi" w:eastAsiaTheme="minorHAnsi" w:hAnsiTheme="minorHAnsi" w:cstheme="minorHAnsi"/>
          <w:sz w:val="22"/>
          <w:szCs w:val="22"/>
          <w:lang w:eastAsia="en-US"/>
        </w:rPr>
        <w:t>izgradnja i opremanje dječjeg igrališta kako bi unaprijedili dostupnost prostora za boravak na otvorenom za djecu i mlade</w:t>
      </w:r>
      <w:r w:rsidR="007A7107" w:rsidRPr="008D7E06">
        <w:rPr>
          <w:rFonts w:asciiTheme="minorHAnsi" w:eastAsiaTheme="minorHAnsi" w:hAnsiTheme="minorHAnsi" w:cstheme="minorHAnsi"/>
          <w:sz w:val="22"/>
          <w:szCs w:val="22"/>
          <w:lang w:eastAsia="en-US"/>
        </w:rPr>
        <w:t xml:space="preserve">. </w:t>
      </w:r>
    </w:p>
    <w:p w14:paraId="73D7AC59" w14:textId="77777777" w:rsidR="00D4022C" w:rsidRPr="008D7E06" w:rsidRDefault="00C95273" w:rsidP="008D7E06">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Grad Gospić izdvaja vlastita sredstva za sufinanciranje linijskog prijevoza</w:t>
      </w:r>
      <w:r w:rsidR="0065600D" w:rsidRPr="008D7E06">
        <w:rPr>
          <w:rFonts w:asciiTheme="minorHAnsi" w:eastAsiaTheme="minorHAnsi" w:hAnsiTheme="minorHAnsi" w:cstheme="minorHAnsi"/>
          <w:sz w:val="22"/>
          <w:szCs w:val="22"/>
          <w:lang w:eastAsia="en-US"/>
        </w:rPr>
        <w:t xml:space="preserve"> kako bi osigurali prometnu povezanost</w:t>
      </w:r>
      <w:r w:rsidRPr="008D7E06">
        <w:rPr>
          <w:rFonts w:asciiTheme="minorHAnsi" w:eastAsiaTheme="minorHAnsi" w:hAnsiTheme="minorHAnsi" w:cstheme="minorHAnsi"/>
          <w:sz w:val="22"/>
          <w:szCs w:val="22"/>
          <w:lang w:eastAsia="en-US"/>
        </w:rPr>
        <w:t xml:space="preserve"> i dostupnost linijskog prijevoza svim građanima</w:t>
      </w:r>
      <w:r w:rsidR="007A7107" w:rsidRPr="008D7E06">
        <w:rPr>
          <w:rFonts w:asciiTheme="minorHAnsi" w:eastAsiaTheme="minorHAnsi" w:hAnsiTheme="minorHAnsi" w:cstheme="minorHAnsi"/>
          <w:sz w:val="22"/>
          <w:szCs w:val="22"/>
          <w:lang w:eastAsia="en-US"/>
        </w:rPr>
        <w:t>.</w:t>
      </w:r>
    </w:p>
    <w:p w14:paraId="33FBD89B" w14:textId="77777777" w:rsidR="001B5308" w:rsidRPr="008D7E06" w:rsidRDefault="001B5308" w:rsidP="008D7E06">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 xml:space="preserve">U 2022. godini proveden je projekt Izgradnja </w:t>
      </w:r>
      <w:proofErr w:type="spellStart"/>
      <w:r w:rsidRPr="008D7E06">
        <w:rPr>
          <w:rFonts w:asciiTheme="minorHAnsi" w:eastAsiaTheme="minorHAnsi" w:hAnsiTheme="minorHAnsi" w:cstheme="minorHAnsi"/>
          <w:sz w:val="22"/>
          <w:szCs w:val="22"/>
          <w:lang w:eastAsia="en-US"/>
        </w:rPr>
        <w:t>reciklažnog</w:t>
      </w:r>
      <w:proofErr w:type="spellEnd"/>
      <w:r w:rsidRPr="008D7E06">
        <w:rPr>
          <w:rFonts w:asciiTheme="minorHAnsi" w:eastAsiaTheme="minorHAnsi" w:hAnsiTheme="minorHAnsi" w:cstheme="minorHAnsi"/>
          <w:sz w:val="22"/>
          <w:szCs w:val="22"/>
          <w:lang w:eastAsia="en-US"/>
        </w:rPr>
        <w:t xml:space="preserve"> dvorišta u Gospiću vrijednost projekta iznosi 4.710.530,47 kuna od čega su 3.677.125,89 kuna bespovratna sredstva iz Kohezijskog fonda. Cilj projekta je doprinijeti povećanju stope odvojeno prikupljenog komunalnog otpada i smanjenju količine otpada koje se odlaže na odlagalište otpada, a izgradnjom </w:t>
      </w:r>
      <w:proofErr w:type="spellStart"/>
      <w:r w:rsidRPr="008D7E06">
        <w:rPr>
          <w:rFonts w:asciiTheme="minorHAnsi" w:eastAsiaTheme="minorHAnsi" w:hAnsiTheme="minorHAnsi" w:cstheme="minorHAnsi"/>
          <w:sz w:val="22"/>
          <w:szCs w:val="22"/>
          <w:lang w:eastAsia="en-US"/>
        </w:rPr>
        <w:t>reciklažnog</w:t>
      </w:r>
      <w:proofErr w:type="spellEnd"/>
      <w:r w:rsidRPr="008D7E06">
        <w:rPr>
          <w:rFonts w:asciiTheme="minorHAnsi" w:eastAsiaTheme="minorHAnsi" w:hAnsiTheme="minorHAnsi" w:cstheme="minorHAnsi"/>
          <w:sz w:val="22"/>
          <w:szCs w:val="22"/>
          <w:lang w:eastAsia="en-US"/>
        </w:rPr>
        <w:t xml:space="preserve"> dvorišta omogućit će se besplatno razvrstavanje i odlaganje više od 20 vrsta otpada.</w:t>
      </w:r>
    </w:p>
    <w:p w14:paraId="5FB178F7" w14:textId="2703B575" w:rsidR="00894F39" w:rsidRPr="008D7E06" w:rsidRDefault="004B21D4" w:rsidP="008D7E06">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 xml:space="preserve">Grad Gospić </w:t>
      </w:r>
      <w:r w:rsidR="00894F39" w:rsidRPr="008D7E06">
        <w:rPr>
          <w:rFonts w:asciiTheme="minorHAnsi" w:eastAsiaTheme="minorHAnsi" w:hAnsiTheme="minorHAnsi" w:cstheme="minorHAnsi"/>
          <w:sz w:val="22"/>
          <w:szCs w:val="22"/>
          <w:lang w:eastAsia="en-US"/>
        </w:rPr>
        <w:t xml:space="preserve">je </w:t>
      </w:r>
      <w:r w:rsidRPr="008D7E06">
        <w:rPr>
          <w:rFonts w:asciiTheme="minorHAnsi" w:eastAsiaTheme="minorHAnsi" w:hAnsiTheme="minorHAnsi" w:cstheme="minorHAnsi"/>
          <w:sz w:val="22"/>
          <w:szCs w:val="22"/>
          <w:lang w:eastAsia="en-US"/>
        </w:rPr>
        <w:t>osigura</w:t>
      </w:r>
      <w:r w:rsidR="00894F39" w:rsidRPr="008D7E06">
        <w:rPr>
          <w:rFonts w:asciiTheme="minorHAnsi" w:eastAsiaTheme="minorHAnsi" w:hAnsiTheme="minorHAnsi" w:cstheme="minorHAnsi"/>
          <w:sz w:val="22"/>
          <w:szCs w:val="22"/>
          <w:lang w:eastAsia="en-US"/>
        </w:rPr>
        <w:t>o sredstva</w:t>
      </w:r>
      <w:r w:rsidRPr="008D7E06">
        <w:rPr>
          <w:rFonts w:asciiTheme="minorHAnsi" w:eastAsiaTheme="minorHAnsi" w:hAnsiTheme="minorHAnsi" w:cstheme="minorHAnsi"/>
          <w:sz w:val="22"/>
          <w:szCs w:val="22"/>
          <w:lang w:eastAsia="en-US"/>
        </w:rPr>
        <w:t xml:space="preserve"> u proračunu</w:t>
      </w:r>
      <w:r w:rsidR="00894F39" w:rsidRPr="008D7E06">
        <w:rPr>
          <w:rFonts w:asciiTheme="minorHAnsi" w:eastAsiaTheme="minorHAnsi" w:hAnsiTheme="minorHAnsi" w:cstheme="minorHAnsi"/>
          <w:sz w:val="22"/>
          <w:szCs w:val="22"/>
          <w:lang w:eastAsia="en-US"/>
        </w:rPr>
        <w:t xml:space="preserve"> z</w:t>
      </w:r>
      <w:r w:rsidRPr="008D7E06">
        <w:rPr>
          <w:rFonts w:asciiTheme="minorHAnsi" w:eastAsiaTheme="minorHAnsi" w:hAnsiTheme="minorHAnsi" w:cstheme="minorHAnsi"/>
          <w:sz w:val="22"/>
          <w:szCs w:val="22"/>
          <w:lang w:eastAsia="en-US"/>
        </w:rPr>
        <w:t>a održavanje komunalne infrastrukture</w:t>
      </w:r>
      <w:r w:rsidR="00894F39" w:rsidRPr="008D7E06">
        <w:rPr>
          <w:rFonts w:asciiTheme="minorHAnsi" w:eastAsiaTheme="minorHAnsi" w:hAnsiTheme="minorHAnsi" w:cstheme="minorHAnsi"/>
          <w:sz w:val="22"/>
          <w:szCs w:val="22"/>
          <w:lang w:eastAsia="en-US"/>
        </w:rPr>
        <w:t xml:space="preserve"> - održavanje nerazvrstanih cesta, održavanje nerazvrstanih cesta u zimskim uvjetima, održavanje javnih površina na kojima nije dopušten promet motornih vozila, održavanje građevina javne odvodnje oborinskih voda, održavanje javnih zelenih površina, održavanje građevina, uređaja i predmeta javne namjene, održavanje groblja, održavanje čistoće javnih površina, održavanje javne rasvjete, veterinarsko-higijeničarske usluge, božićno i novogodišnje kićenje grada, sanacija divljih odlagališta otpada, održavanje gradskih nogometnih stadiona, sportskih građevina i igrališta. </w:t>
      </w:r>
    </w:p>
    <w:p w14:paraId="367A8096" w14:textId="77777777" w:rsidR="00487154" w:rsidRPr="008D7E06" w:rsidRDefault="004B21D4" w:rsidP="008D7E06">
      <w:pPr>
        <w:pStyle w:val="StandardWeb"/>
        <w:numPr>
          <w:ilvl w:val="0"/>
          <w:numId w:val="5"/>
        </w:numPr>
        <w:shd w:val="clear" w:color="auto" w:fill="FFFFFF"/>
        <w:rPr>
          <w:rFonts w:asciiTheme="minorHAnsi" w:eastAsiaTheme="minorHAnsi" w:hAnsiTheme="minorHAnsi" w:cstheme="minorHAnsi"/>
          <w:sz w:val="22"/>
          <w:szCs w:val="22"/>
          <w:lang w:eastAsia="en-US"/>
        </w:rPr>
      </w:pPr>
      <w:r w:rsidRPr="008D7E06">
        <w:rPr>
          <w:rFonts w:asciiTheme="minorHAnsi" w:eastAsiaTheme="minorHAnsi" w:hAnsiTheme="minorHAnsi" w:cstheme="minorHAnsi"/>
          <w:sz w:val="22"/>
          <w:szCs w:val="22"/>
          <w:lang w:eastAsia="en-US"/>
        </w:rPr>
        <w:t>Provedbom projekta „Sustav javne rasvjete Grada Gospića – prva funkcionalna cjelina“ obuhvaćena je javna rasvjeta u naselju Gospić</w:t>
      </w:r>
      <w:r w:rsidR="00894F39" w:rsidRPr="008D7E06">
        <w:rPr>
          <w:rFonts w:asciiTheme="minorHAnsi" w:eastAsiaTheme="minorHAnsi" w:hAnsiTheme="minorHAnsi" w:cstheme="minorHAnsi"/>
          <w:sz w:val="22"/>
          <w:szCs w:val="22"/>
          <w:lang w:eastAsia="en-US"/>
        </w:rPr>
        <w:t>, p</w:t>
      </w:r>
      <w:r w:rsidRPr="008D7E06">
        <w:rPr>
          <w:rFonts w:asciiTheme="minorHAnsi" w:eastAsiaTheme="minorHAnsi" w:hAnsiTheme="minorHAnsi" w:cstheme="minorHAnsi"/>
          <w:sz w:val="22"/>
          <w:szCs w:val="22"/>
          <w:lang w:eastAsia="en-US"/>
        </w:rPr>
        <w:t xml:space="preserve">rednosti modernizacije javne rasvjete su poboljšanje energetske učinkovitosti sustava javne rasvjete, smanjenje svjetlosnog onečišćenja i ušteda električne energije odnosno manji troškovi. Konačni cilj je implementacija moderne, energetski učinkovite, ekološki prihvatljive javne rasvjete na cijelom području Grada Gospića. Ukupna vrijednost projekta je 3.334.496,81 kn. </w:t>
      </w:r>
      <w:r w:rsidR="00894F39" w:rsidRPr="008D7E06">
        <w:rPr>
          <w:rFonts w:asciiTheme="minorHAnsi" w:eastAsiaTheme="minorHAnsi" w:hAnsiTheme="minorHAnsi" w:cstheme="minorHAnsi"/>
          <w:sz w:val="22"/>
          <w:szCs w:val="22"/>
          <w:lang w:eastAsia="en-US"/>
        </w:rPr>
        <w:t>Fazom II. ovog projekta uvest će se i energetski učinkovita javna rasvjeta na području ostalih naselja Grada Gospića. Realizacija II. faze se očekuje u financijskom razdoblju do 2027. godine. Projektna dokumentacija je izrađena, a čeka se natječaj EU fondova.</w:t>
      </w:r>
    </w:p>
    <w:p w14:paraId="14A3C0B4" w14:textId="77777777" w:rsidR="000D10F8" w:rsidRPr="00FE1D1A" w:rsidRDefault="00FE1D1A" w:rsidP="00FE1D1A">
      <w:pPr>
        <w:pStyle w:val="StandardWeb"/>
        <w:numPr>
          <w:ilvl w:val="0"/>
          <w:numId w:val="5"/>
        </w:numPr>
        <w:shd w:val="clear" w:color="auto" w:fill="FFFFFF"/>
        <w:rPr>
          <w:rFonts w:asciiTheme="minorHAnsi" w:eastAsiaTheme="minorHAnsi" w:hAnsiTheme="minorHAnsi" w:cstheme="minorHAnsi"/>
          <w:sz w:val="22"/>
          <w:szCs w:val="22"/>
          <w:lang w:eastAsia="en-US"/>
        </w:rPr>
      </w:pPr>
      <w:r w:rsidRPr="00FE1D1A">
        <w:rPr>
          <w:rFonts w:asciiTheme="minorHAnsi" w:eastAsiaTheme="minorHAnsi" w:hAnsiTheme="minorHAnsi" w:cstheme="minorHAnsi"/>
          <w:sz w:val="22"/>
          <w:szCs w:val="22"/>
          <w:lang w:eastAsia="en-US"/>
        </w:rPr>
        <w:t>Kako bi se pospješilo djelovanje širokopojasnog Interneta Gradu Gospiću kao nositelju projekta, uz Grad Otočac i Općinu Plitvička jezera koji sudjeluju u projektu, odobrena su financijska sredstva u maksimalnom iznosu od 75 milijuna kuna za provedbu projekta. Ova sredstava odnose se na razvoja infrastrukture širokopojasnog pristupa internetu za područje Grada Gospića, Grada Otočca i Općine Plitvička Jezera (PRŠI) ukupno vrijednog 98 milijuna kuna. Implementacijom projekta svako selo i zaselak na ovim područjima Like imat će pristup internetskoj mreži velike brzine. To je jedan od financijski najvrjednijih projekata financiranih sredstvima EU koji će se realizirati na ličkom području pa će Gospić ujedno biti prvi grad u Ličko-senjskoj županiji koji će krenuti u provedbu ovakvog projekta. U 2022. godini</w:t>
      </w:r>
      <w:r w:rsidR="005148CA">
        <w:rPr>
          <w:rFonts w:asciiTheme="minorHAnsi" w:eastAsiaTheme="minorHAnsi" w:hAnsiTheme="minorHAnsi" w:cstheme="minorHAnsi"/>
          <w:sz w:val="22"/>
          <w:szCs w:val="22"/>
          <w:lang w:eastAsia="en-US"/>
        </w:rPr>
        <w:t xml:space="preserve"> </w:t>
      </w:r>
      <w:r w:rsidRPr="00FE1D1A">
        <w:rPr>
          <w:rFonts w:asciiTheme="minorHAnsi" w:eastAsiaTheme="minorHAnsi" w:hAnsiTheme="minorHAnsi" w:cstheme="minorHAnsi"/>
          <w:sz w:val="22"/>
          <w:szCs w:val="22"/>
          <w:lang w:eastAsia="en-US"/>
        </w:rPr>
        <w:t xml:space="preserve">odrađeno </w:t>
      </w:r>
      <w:r w:rsidR="00794F80" w:rsidRPr="00FE1D1A">
        <w:rPr>
          <w:rFonts w:asciiTheme="minorHAnsi" w:eastAsiaTheme="minorHAnsi" w:hAnsiTheme="minorHAnsi" w:cstheme="minorHAnsi"/>
          <w:sz w:val="22"/>
          <w:szCs w:val="22"/>
          <w:lang w:eastAsia="en-US"/>
        </w:rPr>
        <w:t>je projektiranje širokopojasne mreže sljedeće generacije kao i građevinski radovi na projektu Gospić 1.</w:t>
      </w:r>
    </w:p>
    <w:p w14:paraId="6924746F" w14:textId="77777777" w:rsidR="000D10F8" w:rsidRPr="000D10F8" w:rsidRDefault="000D10F8" w:rsidP="000D10F8">
      <w:bookmarkStart w:id="3" w:name="_Toc108693284"/>
    </w:p>
    <w:p w14:paraId="3693A542" w14:textId="77777777" w:rsidR="00231A45" w:rsidRDefault="00F216EE" w:rsidP="004A01DF">
      <w:pPr>
        <w:pStyle w:val="Naslov1"/>
        <w:numPr>
          <w:ilvl w:val="0"/>
          <w:numId w:val="1"/>
        </w:numPr>
      </w:pPr>
      <w:r>
        <w:t>PRILOG 1.</w:t>
      </w:r>
      <w:bookmarkEnd w:id="3"/>
    </w:p>
    <w:p w14:paraId="5937B422" w14:textId="77777777" w:rsidR="00CA4A94" w:rsidRPr="00CA4A94" w:rsidRDefault="000146FF" w:rsidP="00CA4A94">
      <w:pPr>
        <w:rPr>
          <w:rFonts w:cstheme="minorHAnsi"/>
        </w:rPr>
      </w:pPr>
      <w:r>
        <w:rPr>
          <w:rFonts w:cstheme="minorHAnsi"/>
        </w:rPr>
        <w:t>G</w:t>
      </w:r>
      <w:r w:rsidR="00CA4A94" w:rsidRPr="00CA4A94">
        <w:rPr>
          <w:rFonts w:cstheme="minorHAnsi"/>
        </w:rPr>
        <w:t>odišnje izvješć</w:t>
      </w:r>
      <w:r w:rsidR="00B24687">
        <w:rPr>
          <w:rFonts w:cstheme="minorHAnsi"/>
        </w:rPr>
        <w:t>e</w:t>
      </w:r>
      <w:r w:rsidR="00CA4A94" w:rsidRPr="00CA4A94">
        <w:rPr>
          <w:rFonts w:cstheme="minorHAnsi"/>
        </w:rPr>
        <w:t xml:space="preserve"> o provedbi </w:t>
      </w:r>
      <w:r>
        <w:rPr>
          <w:rFonts w:cstheme="minorHAnsi"/>
        </w:rPr>
        <w:t>Provedbenog programa Grada Gospića za 2022. godinu</w:t>
      </w:r>
      <w:r w:rsidR="008D7E06">
        <w:rPr>
          <w:rFonts w:cstheme="minorHAnsi"/>
        </w:rPr>
        <w:t xml:space="preserve">. </w:t>
      </w:r>
    </w:p>
    <w:p w14:paraId="4906706A" w14:textId="77777777" w:rsidR="000D10F8" w:rsidRPr="000D10F8" w:rsidRDefault="000D10F8" w:rsidP="000D10F8"/>
    <w:p w14:paraId="17137A36" w14:textId="77777777" w:rsidR="00E36A68" w:rsidRPr="00E36A68" w:rsidRDefault="00E36A68" w:rsidP="00E36A68"/>
    <w:p w14:paraId="61442C14" w14:textId="77777777" w:rsidR="00E36A68" w:rsidRPr="00E36A68" w:rsidRDefault="00E36A68" w:rsidP="00E36A68"/>
    <w:sectPr w:rsidR="00E36A68" w:rsidRPr="00E36A68" w:rsidSect="00824D7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A797" w14:textId="77777777" w:rsidR="00087ECF" w:rsidRDefault="00087ECF" w:rsidP="00917BE0">
      <w:pPr>
        <w:spacing w:after="0" w:line="240" w:lineRule="auto"/>
      </w:pPr>
      <w:r>
        <w:separator/>
      </w:r>
    </w:p>
  </w:endnote>
  <w:endnote w:type="continuationSeparator" w:id="0">
    <w:p w14:paraId="4A10BC87" w14:textId="77777777" w:rsidR="00087ECF" w:rsidRDefault="00087ECF" w:rsidP="009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40496"/>
      <w:docPartObj>
        <w:docPartGallery w:val="Page Numbers (Bottom of Page)"/>
        <w:docPartUnique/>
      </w:docPartObj>
    </w:sdtPr>
    <w:sdtContent>
      <w:p w14:paraId="3273D746" w14:textId="77777777" w:rsidR="00917BE0" w:rsidRDefault="00E50507">
        <w:pPr>
          <w:pStyle w:val="Podnoje"/>
          <w:jc w:val="right"/>
        </w:pPr>
        <w:r>
          <w:fldChar w:fldCharType="begin"/>
        </w:r>
        <w:r w:rsidR="00917BE0">
          <w:instrText>PAGE   \* MERGEFORMAT</w:instrText>
        </w:r>
        <w:r>
          <w:fldChar w:fldCharType="separate"/>
        </w:r>
        <w:r w:rsidR="00917BE0">
          <w:t>2</w:t>
        </w:r>
        <w:r>
          <w:fldChar w:fldCharType="end"/>
        </w:r>
      </w:p>
    </w:sdtContent>
  </w:sdt>
  <w:p w14:paraId="21166EF9" w14:textId="77777777" w:rsidR="00917BE0" w:rsidRDefault="00917B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51662" w14:textId="77777777" w:rsidR="00087ECF" w:rsidRDefault="00087ECF" w:rsidP="00917BE0">
      <w:pPr>
        <w:spacing w:after="0" w:line="240" w:lineRule="auto"/>
      </w:pPr>
      <w:r>
        <w:separator/>
      </w:r>
    </w:p>
  </w:footnote>
  <w:footnote w:type="continuationSeparator" w:id="0">
    <w:p w14:paraId="441C9DF9" w14:textId="77777777" w:rsidR="00087ECF" w:rsidRDefault="00087ECF" w:rsidP="00917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9FE"/>
    <w:multiLevelType w:val="hybridMultilevel"/>
    <w:tmpl w:val="A4A4CA68"/>
    <w:lvl w:ilvl="0" w:tplc="5E381E0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91457F7"/>
    <w:multiLevelType w:val="multilevel"/>
    <w:tmpl w:val="DEBC89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365815"/>
    <w:multiLevelType w:val="multilevel"/>
    <w:tmpl w:val="DEBC89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156E6"/>
    <w:multiLevelType w:val="hybridMultilevel"/>
    <w:tmpl w:val="DCB462B4"/>
    <w:lvl w:ilvl="0" w:tplc="9B0A5C5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54B23C3"/>
    <w:multiLevelType w:val="hybridMultilevel"/>
    <w:tmpl w:val="8168E56C"/>
    <w:lvl w:ilvl="0" w:tplc="7988CA6E">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AB533B3"/>
    <w:multiLevelType w:val="hybridMultilevel"/>
    <w:tmpl w:val="022C9AD8"/>
    <w:lvl w:ilvl="0" w:tplc="024EA8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442D43"/>
    <w:multiLevelType w:val="hybridMultilevel"/>
    <w:tmpl w:val="EB804AA0"/>
    <w:lvl w:ilvl="0" w:tplc="66765D7C">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7" w15:restartNumberingAfterBreak="0">
    <w:nsid w:val="51835A4E"/>
    <w:multiLevelType w:val="hybridMultilevel"/>
    <w:tmpl w:val="38BA8054"/>
    <w:lvl w:ilvl="0" w:tplc="E3C20EC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D532F6D"/>
    <w:multiLevelType w:val="hybridMultilevel"/>
    <w:tmpl w:val="6010D388"/>
    <w:lvl w:ilvl="0" w:tplc="F22665FE">
      <w:start w:val="3"/>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780905785">
    <w:abstractNumId w:val="1"/>
  </w:num>
  <w:num w:numId="2" w16cid:durableId="753625355">
    <w:abstractNumId w:val="4"/>
  </w:num>
  <w:num w:numId="3" w16cid:durableId="1126579099">
    <w:abstractNumId w:val="3"/>
  </w:num>
  <w:num w:numId="4" w16cid:durableId="2042974413">
    <w:abstractNumId w:val="5"/>
  </w:num>
  <w:num w:numId="5" w16cid:durableId="532571225">
    <w:abstractNumId w:val="7"/>
  </w:num>
  <w:num w:numId="6" w16cid:durableId="1200826296">
    <w:abstractNumId w:val="2"/>
  </w:num>
  <w:num w:numId="7" w16cid:durableId="1861385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0055099">
    <w:abstractNumId w:val="0"/>
  </w:num>
  <w:num w:numId="9" w16cid:durableId="530382990">
    <w:abstractNumId w:val="6"/>
  </w:num>
  <w:num w:numId="10" w16cid:durableId="199363550">
    <w:abstractNumId w:val="0"/>
  </w:num>
  <w:num w:numId="11" w16cid:durableId="18054173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EF"/>
    <w:rsid w:val="00013816"/>
    <w:rsid w:val="000146FF"/>
    <w:rsid w:val="00051804"/>
    <w:rsid w:val="00061A7C"/>
    <w:rsid w:val="00072CA9"/>
    <w:rsid w:val="00074862"/>
    <w:rsid w:val="00087ECF"/>
    <w:rsid w:val="00096AD0"/>
    <w:rsid w:val="000C1BBC"/>
    <w:rsid w:val="000C7638"/>
    <w:rsid w:val="000D10F8"/>
    <w:rsid w:val="000D6BEF"/>
    <w:rsid w:val="001369D8"/>
    <w:rsid w:val="00162EE7"/>
    <w:rsid w:val="0017677C"/>
    <w:rsid w:val="00177490"/>
    <w:rsid w:val="001834EF"/>
    <w:rsid w:val="001869B2"/>
    <w:rsid w:val="0018719A"/>
    <w:rsid w:val="001900B1"/>
    <w:rsid w:val="001B5308"/>
    <w:rsid w:val="001D4F15"/>
    <w:rsid w:val="001F1DEB"/>
    <w:rsid w:val="00204D6E"/>
    <w:rsid w:val="00217E20"/>
    <w:rsid w:val="00231A45"/>
    <w:rsid w:val="00240C54"/>
    <w:rsid w:val="00280CB8"/>
    <w:rsid w:val="002A70E8"/>
    <w:rsid w:val="002C3692"/>
    <w:rsid w:val="002C4FE8"/>
    <w:rsid w:val="002D2667"/>
    <w:rsid w:val="002D2D24"/>
    <w:rsid w:val="002D7303"/>
    <w:rsid w:val="002F171F"/>
    <w:rsid w:val="002F5335"/>
    <w:rsid w:val="00302123"/>
    <w:rsid w:val="00305E5A"/>
    <w:rsid w:val="00312B47"/>
    <w:rsid w:val="00316672"/>
    <w:rsid w:val="00326B70"/>
    <w:rsid w:val="0034192E"/>
    <w:rsid w:val="00356E58"/>
    <w:rsid w:val="00393E40"/>
    <w:rsid w:val="003B4F37"/>
    <w:rsid w:val="003B5E40"/>
    <w:rsid w:val="003B7458"/>
    <w:rsid w:val="003C209F"/>
    <w:rsid w:val="003C6B53"/>
    <w:rsid w:val="003E0DC4"/>
    <w:rsid w:val="003F1118"/>
    <w:rsid w:val="004318D8"/>
    <w:rsid w:val="0043564D"/>
    <w:rsid w:val="00441757"/>
    <w:rsid w:val="00442BC8"/>
    <w:rsid w:val="00444E74"/>
    <w:rsid w:val="004816A2"/>
    <w:rsid w:val="00487154"/>
    <w:rsid w:val="00490507"/>
    <w:rsid w:val="004A01DF"/>
    <w:rsid w:val="004A593E"/>
    <w:rsid w:val="004A7ABE"/>
    <w:rsid w:val="004B21D4"/>
    <w:rsid w:val="004E244A"/>
    <w:rsid w:val="004E53E3"/>
    <w:rsid w:val="00507D95"/>
    <w:rsid w:val="005105DC"/>
    <w:rsid w:val="005148CA"/>
    <w:rsid w:val="00542197"/>
    <w:rsid w:val="00542680"/>
    <w:rsid w:val="005A00DF"/>
    <w:rsid w:val="005A1E9B"/>
    <w:rsid w:val="005B21CF"/>
    <w:rsid w:val="005C3A3C"/>
    <w:rsid w:val="005E0E5C"/>
    <w:rsid w:val="00612B30"/>
    <w:rsid w:val="00630BFC"/>
    <w:rsid w:val="0063450F"/>
    <w:rsid w:val="0065600D"/>
    <w:rsid w:val="00665311"/>
    <w:rsid w:val="006849BC"/>
    <w:rsid w:val="00693828"/>
    <w:rsid w:val="006B0867"/>
    <w:rsid w:val="006C398B"/>
    <w:rsid w:val="006D769F"/>
    <w:rsid w:val="006E378E"/>
    <w:rsid w:val="006E7557"/>
    <w:rsid w:val="007135FD"/>
    <w:rsid w:val="007332D5"/>
    <w:rsid w:val="007472FB"/>
    <w:rsid w:val="007569F0"/>
    <w:rsid w:val="00757047"/>
    <w:rsid w:val="00782F8E"/>
    <w:rsid w:val="00786A96"/>
    <w:rsid w:val="00794F80"/>
    <w:rsid w:val="007A7107"/>
    <w:rsid w:val="007A7305"/>
    <w:rsid w:val="007B56B3"/>
    <w:rsid w:val="007B6ADA"/>
    <w:rsid w:val="007D7375"/>
    <w:rsid w:val="007E4205"/>
    <w:rsid w:val="007F5E2F"/>
    <w:rsid w:val="00817A76"/>
    <w:rsid w:val="00824D71"/>
    <w:rsid w:val="0084189E"/>
    <w:rsid w:val="00850154"/>
    <w:rsid w:val="00860155"/>
    <w:rsid w:val="008661DB"/>
    <w:rsid w:val="00874369"/>
    <w:rsid w:val="00883896"/>
    <w:rsid w:val="00891C14"/>
    <w:rsid w:val="008928A8"/>
    <w:rsid w:val="00894F39"/>
    <w:rsid w:val="008B6148"/>
    <w:rsid w:val="008D7E06"/>
    <w:rsid w:val="008E25E2"/>
    <w:rsid w:val="008E7697"/>
    <w:rsid w:val="008F1233"/>
    <w:rsid w:val="008F59F5"/>
    <w:rsid w:val="008F6A3E"/>
    <w:rsid w:val="00917BE0"/>
    <w:rsid w:val="009551F5"/>
    <w:rsid w:val="0096061E"/>
    <w:rsid w:val="00964EED"/>
    <w:rsid w:val="009828B9"/>
    <w:rsid w:val="00986822"/>
    <w:rsid w:val="00991900"/>
    <w:rsid w:val="00992916"/>
    <w:rsid w:val="009A6547"/>
    <w:rsid w:val="009C63FB"/>
    <w:rsid w:val="009E4C73"/>
    <w:rsid w:val="00A2294A"/>
    <w:rsid w:val="00A306EF"/>
    <w:rsid w:val="00A34E73"/>
    <w:rsid w:val="00AA4812"/>
    <w:rsid w:val="00AC57A6"/>
    <w:rsid w:val="00AD68BB"/>
    <w:rsid w:val="00AE6DEC"/>
    <w:rsid w:val="00AF3AF5"/>
    <w:rsid w:val="00B00F1B"/>
    <w:rsid w:val="00B175C5"/>
    <w:rsid w:val="00B24687"/>
    <w:rsid w:val="00B37AFA"/>
    <w:rsid w:val="00B729D9"/>
    <w:rsid w:val="00B757C7"/>
    <w:rsid w:val="00BA0FE5"/>
    <w:rsid w:val="00BA7492"/>
    <w:rsid w:val="00BB4EAE"/>
    <w:rsid w:val="00BB7B63"/>
    <w:rsid w:val="00BC22BB"/>
    <w:rsid w:val="00BC5499"/>
    <w:rsid w:val="00BE15B3"/>
    <w:rsid w:val="00BE2EF7"/>
    <w:rsid w:val="00C00DDB"/>
    <w:rsid w:val="00C168BE"/>
    <w:rsid w:val="00C17290"/>
    <w:rsid w:val="00C27B3E"/>
    <w:rsid w:val="00C5494B"/>
    <w:rsid w:val="00C54DB4"/>
    <w:rsid w:val="00C64752"/>
    <w:rsid w:val="00C74B26"/>
    <w:rsid w:val="00C74EAF"/>
    <w:rsid w:val="00C95273"/>
    <w:rsid w:val="00CA2ED9"/>
    <w:rsid w:val="00CA4A94"/>
    <w:rsid w:val="00CA5BAB"/>
    <w:rsid w:val="00CB799C"/>
    <w:rsid w:val="00CC1B1B"/>
    <w:rsid w:val="00CF2FF4"/>
    <w:rsid w:val="00CF34A9"/>
    <w:rsid w:val="00D21F02"/>
    <w:rsid w:val="00D3742F"/>
    <w:rsid w:val="00D4022C"/>
    <w:rsid w:val="00D56621"/>
    <w:rsid w:val="00DA241F"/>
    <w:rsid w:val="00DA2C55"/>
    <w:rsid w:val="00DA3309"/>
    <w:rsid w:val="00DB49E9"/>
    <w:rsid w:val="00DB670E"/>
    <w:rsid w:val="00DC5D0A"/>
    <w:rsid w:val="00DD10D2"/>
    <w:rsid w:val="00DD4B8E"/>
    <w:rsid w:val="00DE0340"/>
    <w:rsid w:val="00DF17A2"/>
    <w:rsid w:val="00DF227E"/>
    <w:rsid w:val="00DF7D3B"/>
    <w:rsid w:val="00E012BE"/>
    <w:rsid w:val="00E06EA4"/>
    <w:rsid w:val="00E253E1"/>
    <w:rsid w:val="00E27D41"/>
    <w:rsid w:val="00E31FAC"/>
    <w:rsid w:val="00E36A68"/>
    <w:rsid w:val="00E36A9F"/>
    <w:rsid w:val="00E41D7A"/>
    <w:rsid w:val="00E50507"/>
    <w:rsid w:val="00E52C5E"/>
    <w:rsid w:val="00E535A0"/>
    <w:rsid w:val="00E55619"/>
    <w:rsid w:val="00E670F6"/>
    <w:rsid w:val="00E676A9"/>
    <w:rsid w:val="00E85349"/>
    <w:rsid w:val="00EB4857"/>
    <w:rsid w:val="00ED5C70"/>
    <w:rsid w:val="00EF0B24"/>
    <w:rsid w:val="00EF5109"/>
    <w:rsid w:val="00EF5F52"/>
    <w:rsid w:val="00F05753"/>
    <w:rsid w:val="00F216EE"/>
    <w:rsid w:val="00F67D10"/>
    <w:rsid w:val="00F84403"/>
    <w:rsid w:val="00F84E36"/>
    <w:rsid w:val="00F854FA"/>
    <w:rsid w:val="00F96E78"/>
    <w:rsid w:val="00FA01E8"/>
    <w:rsid w:val="00FA7C95"/>
    <w:rsid w:val="00FC558F"/>
    <w:rsid w:val="00FE1D1A"/>
    <w:rsid w:val="00FF2D73"/>
    <w:rsid w:val="00FF421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37AA"/>
  <w15:docId w15:val="{7DF007B2-ADF5-4716-B271-BA22B28F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78"/>
  </w:style>
  <w:style w:type="paragraph" w:styleId="Naslov1">
    <w:name w:val="heading 1"/>
    <w:basedOn w:val="Normal"/>
    <w:next w:val="Normal"/>
    <w:link w:val="Naslov1Char"/>
    <w:uiPriority w:val="9"/>
    <w:qFormat/>
    <w:rsid w:val="001834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183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013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834EF"/>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1834EF"/>
    <w:rPr>
      <w:rFonts w:asciiTheme="majorHAnsi" w:eastAsiaTheme="majorEastAsia" w:hAnsiTheme="majorHAnsi" w:cstheme="majorBidi"/>
      <w:color w:val="2F5496" w:themeColor="accent1" w:themeShade="BF"/>
      <w:sz w:val="26"/>
      <w:szCs w:val="26"/>
    </w:rPr>
  </w:style>
  <w:style w:type="paragraph" w:styleId="TOCNaslov">
    <w:name w:val="TOC Heading"/>
    <w:basedOn w:val="Naslov1"/>
    <w:next w:val="Normal"/>
    <w:uiPriority w:val="39"/>
    <w:unhideWhenUsed/>
    <w:qFormat/>
    <w:rsid w:val="001834EF"/>
    <w:pPr>
      <w:outlineLvl w:val="9"/>
    </w:pPr>
    <w:rPr>
      <w:lang w:eastAsia="hr-HR"/>
    </w:rPr>
  </w:style>
  <w:style w:type="paragraph" w:styleId="Sadraj1">
    <w:name w:val="toc 1"/>
    <w:basedOn w:val="Normal"/>
    <w:next w:val="Normal"/>
    <w:autoRedefine/>
    <w:uiPriority w:val="39"/>
    <w:unhideWhenUsed/>
    <w:rsid w:val="001834EF"/>
    <w:pPr>
      <w:spacing w:after="100"/>
    </w:pPr>
  </w:style>
  <w:style w:type="paragraph" w:styleId="Sadraj2">
    <w:name w:val="toc 2"/>
    <w:basedOn w:val="Normal"/>
    <w:next w:val="Normal"/>
    <w:autoRedefine/>
    <w:uiPriority w:val="39"/>
    <w:unhideWhenUsed/>
    <w:rsid w:val="001834EF"/>
    <w:pPr>
      <w:spacing w:after="100"/>
      <w:ind w:left="220"/>
    </w:pPr>
  </w:style>
  <w:style w:type="character" w:styleId="Hiperveza">
    <w:name w:val="Hyperlink"/>
    <w:basedOn w:val="Zadanifontodlomka"/>
    <w:uiPriority w:val="99"/>
    <w:unhideWhenUsed/>
    <w:rsid w:val="001834EF"/>
    <w:rPr>
      <w:color w:val="0563C1" w:themeColor="hyperlink"/>
      <w:u w:val="single"/>
    </w:rPr>
  </w:style>
  <w:style w:type="paragraph" w:styleId="Zaglavlje">
    <w:name w:val="header"/>
    <w:basedOn w:val="Normal"/>
    <w:link w:val="ZaglavljeChar"/>
    <w:uiPriority w:val="99"/>
    <w:unhideWhenUsed/>
    <w:rsid w:val="00917BE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17BE0"/>
  </w:style>
  <w:style w:type="paragraph" w:styleId="Podnoje">
    <w:name w:val="footer"/>
    <w:basedOn w:val="Normal"/>
    <w:link w:val="PodnojeChar"/>
    <w:uiPriority w:val="99"/>
    <w:unhideWhenUsed/>
    <w:rsid w:val="00917B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17BE0"/>
  </w:style>
  <w:style w:type="paragraph" w:styleId="Odlomakpopisa">
    <w:name w:val="List Paragraph"/>
    <w:basedOn w:val="Normal"/>
    <w:uiPriority w:val="34"/>
    <w:qFormat/>
    <w:rsid w:val="0096061E"/>
    <w:pPr>
      <w:ind w:left="720"/>
      <w:contextualSpacing/>
    </w:pPr>
  </w:style>
  <w:style w:type="character" w:customStyle="1" w:styleId="Naslov3Char">
    <w:name w:val="Naslov 3 Char"/>
    <w:basedOn w:val="Zadanifontodlomka"/>
    <w:link w:val="Naslov3"/>
    <w:uiPriority w:val="9"/>
    <w:rsid w:val="00013816"/>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542197"/>
    <w:pPr>
      <w:spacing w:after="100"/>
      <w:ind w:left="440"/>
    </w:pPr>
  </w:style>
  <w:style w:type="table" w:styleId="Reetkatablice">
    <w:name w:val="Table Grid"/>
    <w:basedOn w:val="Obinatablica"/>
    <w:uiPriority w:val="39"/>
    <w:rsid w:val="008E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1869B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1869B2"/>
    <w:rPr>
      <w:sz w:val="20"/>
      <w:szCs w:val="20"/>
    </w:rPr>
  </w:style>
  <w:style w:type="character" w:styleId="Referencafusnote">
    <w:name w:val="footnote reference"/>
    <w:basedOn w:val="Zadanifontodlomka"/>
    <w:uiPriority w:val="99"/>
    <w:semiHidden/>
    <w:unhideWhenUsed/>
    <w:rsid w:val="001869B2"/>
    <w:rPr>
      <w:vertAlign w:val="superscript"/>
    </w:rPr>
  </w:style>
  <w:style w:type="paragraph" w:customStyle="1" w:styleId="Default">
    <w:name w:val="Default"/>
    <w:rsid w:val="007D737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4E53E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318D8"/>
    <w:rPr>
      <w:b/>
      <w:bCs/>
    </w:rPr>
  </w:style>
  <w:style w:type="paragraph" w:customStyle="1" w:styleId="Odlomakpopisa1">
    <w:name w:val="Odlomak popisa1"/>
    <w:basedOn w:val="Normal"/>
    <w:uiPriority w:val="99"/>
    <w:qFormat/>
    <w:rsid w:val="00DB49E9"/>
    <w:pPr>
      <w:spacing w:after="200" w:line="276" w:lineRule="auto"/>
      <w:ind w:left="720"/>
    </w:pPr>
    <w:rPr>
      <w:rFonts w:ascii="Calibri" w:eastAsia="Calibri" w:hAnsi="Calibri" w:cs="Calibri"/>
    </w:rPr>
  </w:style>
  <w:style w:type="character" w:styleId="Istaknuto">
    <w:name w:val="Emphasis"/>
    <w:basedOn w:val="Zadanifontodlomka"/>
    <w:uiPriority w:val="20"/>
    <w:qFormat/>
    <w:rsid w:val="001B5308"/>
    <w:rPr>
      <w:i/>
      <w:iCs/>
    </w:rPr>
  </w:style>
  <w:style w:type="paragraph" w:styleId="Tekstbalonia">
    <w:name w:val="Balloon Text"/>
    <w:basedOn w:val="Normal"/>
    <w:link w:val="TekstbaloniaChar"/>
    <w:uiPriority w:val="99"/>
    <w:semiHidden/>
    <w:unhideWhenUsed/>
    <w:rsid w:val="008F6A3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6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32">
      <w:bodyDiv w:val="1"/>
      <w:marLeft w:val="0"/>
      <w:marRight w:val="0"/>
      <w:marTop w:val="0"/>
      <w:marBottom w:val="0"/>
      <w:divBdr>
        <w:top w:val="none" w:sz="0" w:space="0" w:color="auto"/>
        <w:left w:val="none" w:sz="0" w:space="0" w:color="auto"/>
        <w:bottom w:val="none" w:sz="0" w:space="0" w:color="auto"/>
        <w:right w:val="none" w:sz="0" w:space="0" w:color="auto"/>
      </w:divBdr>
    </w:div>
    <w:div w:id="58867840">
      <w:bodyDiv w:val="1"/>
      <w:marLeft w:val="0"/>
      <w:marRight w:val="0"/>
      <w:marTop w:val="0"/>
      <w:marBottom w:val="0"/>
      <w:divBdr>
        <w:top w:val="none" w:sz="0" w:space="0" w:color="auto"/>
        <w:left w:val="none" w:sz="0" w:space="0" w:color="auto"/>
        <w:bottom w:val="none" w:sz="0" w:space="0" w:color="auto"/>
        <w:right w:val="none" w:sz="0" w:space="0" w:color="auto"/>
      </w:divBdr>
    </w:div>
    <w:div w:id="201598341">
      <w:bodyDiv w:val="1"/>
      <w:marLeft w:val="0"/>
      <w:marRight w:val="0"/>
      <w:marTop w:val="0"/>
      <w:marBottom w:val="0"/>
      <w:divBdr>
        <w:top w:val="none" w:sz="0" w:space="0" w:color="auto"/>
        <w:left w:val="none" w:sz="0" w:space="0" w:color="auto"/>
        <w:bottom w:val="none" w:sz="0" w:space="0" w:color="auto"/>
        <w:right w:val="none" w:sz="0" w:space="0" w:color="auto"/>
      </w:divBdr>
    </w:div>
    <w:div w:id="206457529">
      <w:bodyDiv w:val="1"/>
      <w:marLeft w:val="0"/>
      <w:marRight w:val="0"/>
      <w:marTop w:val="0"/>
      <w:marBottom w:val="0"/>
      <w:divBdr>
        <w:top w:val="none" w:sz="0" w:space="0" w:color="auto"/>
        <w:left w:val="none" w:sz="0" w:space="0" w:color="auto"/>
        <w:bottom w:val="none" w:sz="0" w:space="0" w:color="auto"/>
        <w:right w:val="none" w:sz="0" w:space="0" w:color="auto"/>
      </w:divBdr>
    </w:div>
    <w:div w:id="327756025">
      <w:bodyDiv w:val="1"/>
      <w:marLeft w:val="0"/>
      <w:marRight w:val="0"/>
      <w:marTop w:val="0"/>
      <w:marBottom w:val="0"/>
      <w:divBdr>
        <w:top w:val="none" w:sz="0" w:space="0" w:color="auto"/>
        <w:left w:val="none" w:sz="0" w:space="0" w:color="auto"/>
        <w:bottom w:val="none" w:sz="0" w:space="0" w:color="auto"/>
        <w:right w:val="none" w:sz="0" w:space="0" w:color="auto"/>
      </w:divBdr>
    </w:div>
    <w:div w:id="372123261">
      <w:bodyDiv w:val="1"/>
      <w:marLeft w:val="0"/>
      <w:marRight w:val="0"/>
      <w:marTop w:val="0"/>
      <w:marBottom w:val="0"/>
      <w:divBdr>
        <w:top w:val="none" w:sz="0" w:space="0" w:color="auto"/>
        <w:left w:val="none" w:sz="0" w:space="0" w:color="auto"/>
        <w:bottom w:val="none" w:sz="0" w:space="0" w:color="auto"/>
        <w:right w:val="none" w:sz="0" w:space="0" w:color="auto"/>
      </w:divBdr>
    </w:div>
    <w:div w:id="373311285">
      <w:bodyDiv w:val="1"/>
      <w:marLeft w:val="0"/>
      <w:marRight w:val="0"/>
      <w:marTop w:val="0"/>
      <w:marBottom w:val="0"/>
      <w:divBdr>
        <w:top w:val="none" w:sz="0" w:space="0" w:color="auto"/>
        <w:left w:val="none" w:sz="0" w:space="0" w:color="auto"/>
        <w:bottom w:val="none" w:sz="0" w:space="0" w:color="auto"/>
        <w:right w:val="none" w:sz="0" w:space="0" w:color="auto"/>
      </w:divBdr>
    </w:div>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402412321">
      <w:bodyDiv w:val="1"/>
      <w:marLeft w:val="0"/>
      <w:marRight w:val="0"/>
      <w:marTop w:val="0"/>
      <w:marBottom w:val="0"/>
      <w:divBdr>
        <w:top w:val="none" w:sz="0" w:space="0" w:color="auto"/>
        <w:left w:val="none" w:sz="0" w:space="0" w:color="auto"/>
        <w:bottom w:val="none" w:sz="0" w:space="0" w:color="auto"/>
        <w:right w:val="none" w:sz="0" w:space="0" w:color="auto"/>
      </w:divBdr>
    </w:div>
    <w:div w:id="614295399">
      <w:bodyDiv w:val="1"/>
      <w:marLeft w:val="0"/>
      <w:marRight w:val="0"/>
      <w:marTop w:val="0"/>
      <w:marBottom w:val="0"/>
      <w:divBdr>
        <w:top w:val="none" w:sz="0" w:space="0" w:color="auto"/>
        <w:left w:val="none" w:sz="0" w:space="0" w:color="auto"/>
        <w:bottom w:val="none" w:sz="0" w:space="0" w:color="auto"/>
        <w:right w:val="none" w:sz="0" w:space="0" w:color="auto"/>
      </w:divBdr>
    </w:div>
    <w:div w:id="778530014">
      <w:bodyDiv w:val="1"/>
      <w:marLeft w:val="0"/>
      <w:marRight w:val="0"/>
      <w:marTop w:val="0"/>
      <w:marBottom w:val="0"/>
      <w:divBdr>
        <w:top w:val="none" w:sz="0" w:space="0" w:color="auto"/>
        <w:left w:val="none" w:sz="0" w:space="0" w:color="auto"/>
        <w:bottom w:val="none" w:sz="0" w:space="0" w:color="auto"/>
        <w:right w:val="none" w:sz="0" w:space="0" w:color="auto"/>
      </w:divBdr>
    </w:div>
    <w:div w:id="871309157">
      <w:bodyDiv w:val="1"/>
      <w:marLeft w:val="0"/>
      <w:marRight w:val="0"/>
      <w:marTop w:val="0"/>
      <w:marBottom w:val="0"/>
      <w:divBdr>
        <w:top w:val="none" w:sz="0" w:space="0" w:color="auto"/>
        <w:left w:val="none" w:sz="0" w:space="0" w:color="auto"/>
        <w:bottom w:val="none" w:sz="0" w:space="0" w:color="auto"/>
        <w:right w:val="none" w:sz="0" w:space="0" w:color="auto"/>
      </w:divBdr>
    </w:div>
    <w:div w:id="1087507483">
      <w:bodyDiv w:val="1"/>
      <w:marLeft w:val="0"/>
      <w:marRight w:val="0"/>
      <w:marTop w:val="0"/>
      <w:marBottom w:val="0"/>
      <w:divBdr>
        <w:top w:val="none" w:sz="0" w:space="0" w:color="auto"/>
        <w:left w:val="none" w:sz="0" w:space="0" w:color="auto"/>
        <w:bottom w:val="none" w:sz="0" w:space="0" w:color="auto"/>
        <w:right w:val="none" w:sz="0" w:space="0" w:color="auto"/>
      </w:divBdr>
    </w:div>
    <w:div w:id="1097560409">
      <w:bodyDiv w:val="1"/>
      <w:marLeft w:val="0"/>
      <w:marRight w:val="0"/>
      <w:marTop w:val="0"/>
      <w:marBottom w:val="0"/>
      <w:divBdr>
        <w:top w:val="none" w:sz="0" w:space="0" w:color="auto"/>
        <w:left w:val="none" w:sz="0" w:space="0" w:color="auto"/>
        <w:bottom w:val="none" w:sz="0" w:space="0" w:color="auto"/>
        <w:right w:val="none" w:sz="0" w:space="0" w:color="auto"/>
      </w:divBdr>
    </w:div>
    <w:div w:id="1135829929">
      <w:bodyDiv w:val="1"/>
      <w:marLeft w:val="0"/>
      <w:marRight w:val="0"/>
      <w:marTop w:val="0"/>
      <w:marBottom w:val="0"/>
      <w:divBdr>
        <w:top w:val="none" w:sz="0" w:space="0" w:color="auto"/>
        <w:left w:val="none" w:sz="0" w:space="0" w:color="auto"/>
        <w:bottom w:val="none" w:sz="0" w:space="0" w:color="auto"/>
        <w:right w:val="none" w:sz="0" w:space="0" w:color="auto"/>
      </w:divBdr>
    </w:div>
    <w:div w:id="1154568195">
      <w:bodyDiv w:val="1"/>
      <w:marLeft w:val="0"/>
      <w:marRight w:val="0"/>
      <w:marTop w:val="0"/>
      <w:marBottom w:val="0"/>
      <w:divBdr>
        <w:top w:val="none" w:sz="0" w:space="0" w:color="auto"/>
        <w:left w:val="none" w:sz="0" w:space="0" w:color="auto"/>
        <w:bottom w:val="none" w:sz="0" w:space="0" w:color="auto"/>
        <w:right w:val="none" w:sz="0" w:space="0" w:color="auto"/>
      </w:divBdr>
    </w:div>
    <w:div w:id="1160122929">
      <w:bodyDiv w:val="1"/>
      <w:marLeft w:val="0"/>
      <w:marRight w:val="0"/>
      <w:marTop w:val="0"/>
      <w:marBottom w:val="0"/>
      <w:divBdr>
        <w:top w:val="none" w:sz="0" w:space="0" w:color="auto"/>
        <w:left w:val="none" w:sz="0" w:space="0" w:color="auto"/>
        <w:bottom w:val="none" w:sz="0" w:space="0" w:color="auto"/>
        <w:right w:val="none" w:sz="0" w:space="0" w:color="auto"/>
      </w:divBdr>
    </w:div>
    <w:div w:id="1187409310">
      <w:bodyDiv w:val="1"/>
      <w:marLeft w:val="0"/>
      <w:marRight w:val="0"/>
      <w:marTop w:val="0"/>
      <w:marBottom w:val="0"/>
      <w:divBdr>
        <w:top w:val="none" w:sz="0" w:space="0" w:color="auto"/>
        <w:left w:val="none" w:sz="0" w:space="0" w:color="auto"/>
        <w:bottom w:val="none" w:sz="0" w:space="0" w:color="auto"/>
        <w:right w:val="none" w:sz="0" w:space="0" w:color="auto"/>
      </w:divBdr>
    </w:div>
    <w:div w:id="1261597060">
      <w:bodyDiv w:val="1"/>
      <w:marLeft w:val="0"/>
      <w:marRight w:val="0"/>
      <w:marTop w:val="0"/>
      <w:marBottom w:val="0"/>
      <w:divBdr>
        <w:top w:val="none" w:sz="0" w:space="0" w:color="auto"/>
        <w:left w:val="none" w:sz="0" w:space="0" w:color="auto"/>
        <w:bottom w:val="none" w:sz="0" w:space="0" w:color="auto"/>
        <w:right w:val="none" w:sz="0" w:space="0" w:color="auto"/>
      </w:divBdr>
    </w:div>
    <w:div w:id="1403603166">
      <w:bodyDiv w:val="1"/>
      <w:marLeft w:val="0"/>
      <w:marRight w:val="0"/>
      <w:marTop w:val="0"/>
      <w:marBottom w:val="0"/>
      <w:divBdr>
        <w:top w:val="none" w:sz="0" w:space="0" w:color="auto"/>
        <w:left w:val="none" w:sz="0" w:space="0" w:color="auto"/>
        <w:bottom w:val="none" w:sz="0" w:space="0" w:color="auto"/>
        <w:right w:val="none" w:sz="0" w:space="0" w:color="auto"/>
      </w:divBdr>
    </w:div>
    <w:div w:id="1498838119">
      <w:bodyDiv w:val="1"/>
      <w:marLeft w:val="0"/>
      <w:marRight w:val="0"/>
      <w:marTop w:val="0"/>
      <w:marBottom w:val="0"/>
      <w:divBdr>
        <w:top w:val="none" w:sz="0" w:space="0" w:color="auto"/>
        <w:left w:val="none" w:sz="0" w:space="0" w:color="auto"/>
        <w:bottom w:val="none" w:sz="0" w:space="0" w:color="auto"/>
        <w:right w:val="none" w:sz="0" w:space="0" w:color="auto"/>
      </w:divBdr>
    </w:div>
    <w:div w:id="1507865884">
      <w:bodyDiv w:val="1"/>
      <w:marLeft w:val="0"/>
      <w:marRight w:val="0"/>
      <w:marTop w:val="0"/>
      <w:marBottom w:val="0"/>
      <w:divBdr>
        <w:top w:val="none" w:sz="0" w:space="0" w:color="auto"/>
        <w:left w:val="none" w:sz="0" w:space="0" w:color="auto"/>
        <w:bottom w:val="none" w:sz="0" w:space="0" w:color="auto"/>
        <w:right w:val="none" w:sz="0" w:space="0" w:color="auto"/>
      </w:divBdr>
    </w:div>
    <w:div w:id="1508210275">
      <w:bodyDiv w:val="1"/>
      <w:marLeft w:val="0"/>
      <w:marRight w:val="0"/>
      <w:marTop w:val="0"/>
      <w:marBottom w:val="0"/>
      <w:divBdr>
        <w:top w:val="none" w:sz="0" w:space="0" w:color="auto"/>
        <w:left w:val="none" w:sz="0" w:space="0" w:color="auto"/>
        <w:bottom w:val="none" w:sz="0" w:space="0" w:color="auto"/>
        <w:right w:val="none" w:sz="0" w:space="0" w:color="auto"/>
      </w:divBdr>
    </w:div>
    <w:div w:id="1510363663">
      <w:bodyDiv w:val="1"/>
      <w:marLeft w:val="0"/>
      <w:marRight w:val="0"/>
      <w:marTop w:val="0"/>
      <w:marBottom w:val="0"/>
      <w:divBdr>
        <w:top w:val="none" w:sz="0" w:space="0" w:color="auto"/>
        <w:left w:val="none" w:sz="0" w:space="0" w:color="auto"/>
        <w:bottom w:val="none" w:sz="0" w:space="0" w:color="auto"/>
        <w:right w:val="none" w:sz="0" w:space="0" w:color="auto"/>
      </w:divBdr>
    </w:div>
    <w:div w:id="1567228959">
      <w:bodyDiv w:val="1"/>
      <w:marLeft w:val="0"/>
      <w:marRight w:val="0"/>
      <w:marTop w:val="0"/>
      <w:marBottom w:val="0"/>
      <w:divBdr>
        <w:top w:val="none" w:sz="0" w:space="0" w:color="auto"/>
        <w:left w:val="none" w:sz="0" w:space="0" w:color="auto"/>
        <w:bottom w:val="none" w:sz="0" w:space="0" w:color="auto"/>
        <w:right w:val="none" w:sz="0" w:space="0" w:color="auto"/>
      </w:divBdr>
    </w:div>
    <w:div w:id="1598565034">
      <w:bodyDiv w:val="1"/>
      <w:marLeft w:val="0"/>
      <w:marRight w:val="0"/>
      <w:marTop w:val="0"/>
      <w:marBottom w:val="0"/>
      <w:divBdr>
        <w:top w:val="none" w:sz="0" w:space="0" w:color="auto"/>
        <w:left w:val="none" w:sz="0" w:space="0" w:color="auto"/>
        <w:bottom w:val="none" w:sz="0" w:space="0" w:color="auto"/>
        <w:right w:val="none" w:sz="0" w:space="0" w:color="auto"/>
      </w:divBdr>
    </w:div>
    <w:div w:id="1613590305">
      <w:bodyDiv w:val="1"/>
      <w:marLeft w:val="0"/>
      <w:marRight w:val="0"/>
      <w:marTop w:val="0"/>
      <w:marBottom w:val="0"/>
      <w:divBdr>
        <w:top w:val="none" w:sz="0" w:space="0" w:color="auto"/>
        <w:left w:val="none" w:sz="0" w:space="0" w:color="auto"/>
        <w:bottom w:val="none" w:sz="0" w:space="0" w:color="auto"/>
        <w:right w:val="none" w:sz="0" w:space="0" w:color="auto"/>
      </w:divBdr>
    </w:div>
    <w:div w:id="1681617607">
      <w:bodyDiv w:val="1"/>
      <w:marLeft w:val="0"/>
      <w:marRight w:val="0"/>
      <w:marTop w:val="0"/>
      <w:marBottom w:val="0"/>
      <w:divBdr>
        <w:top w:val="none" w:sz="0" w:space="0" w:color="auto"/>
        <w:left w:val="none" w:sz="0" w:space="0" w:color="auto"/>
        <w:bottom w:val="none" w:sz="0" w:space="0" w:color="auto"/>
        <w:right w:val="none" w:sz="0" w:space="0" w:color="auto"/>
      </w:divBdr>
    </w:div>
    <w:div w:id="1750157342">
      <w:bodyDiv w:val="1"/>
      <w:marLeft w:val="0"/>
      <w:marRight w:val="0"/>
      <w:marTop w:val="0"/>
      <w:marBottom w:val="0"/>
      <w:divBdr>
        <w:top w:val="none" w:sz="0" w:space="0" w:color="auto"/>
        <w:left w:val="none" w:sz="0" w:space="0" w:color="auto"/>
        <w:bottom w:val="none" w:sz="0" w:space="0" w:color="auto"/>
        <w:right w:val="none" w:sz="0" w:space="0" w:color="auto"/>
      </w:divBdr>
    </w:div>
    <w:div w:id="1938824120">
      <w:bodyDiv w:val="1"/>
      <w:marLeft w:val="0"/>
      <w:marRight w:val="0"/>
      <w:marTop w:val="0"/>
      <w:marBottom w:val="0"/>
      <w:divBdr>
        <w:top w:val="none" w:sz="0" w:space="0" w:color="auto"/>
        <w:left w:val="none" w:sz="0" w:space="0" w:color="auto"/>
        <w:bottom w:val="none" w:sz="0" w:space="0" w:color="auto"/>
        <w:right w:val="none" w:sz="0" w:space="0" w:color="auto"/>
      </w:divBdr>
    </w:div>
    <w:div w:id="1955205815">
      <w:bodyDiv w:val="1"/>
      <w:marLeft w:val="0"/>
      <w:marRight w:val="0"/>
      <w:marTop w:val="0"/>
      <w:marBottom w:val="0"/>
      <w:divBdr>
        <w:top w:val="none" w:sz="0" w:space="0" w:color="auto"/>
        <w:left w:val="none" w:sz="0" w:space="0" w:color="auto"/>
        <w:bottom w:val="none" w:sz="0" w:space="0" w:color="auto"/>
        <w:right w:val="none" w:sz="0" w:space="0" w:color="auto"/>
      </w:divBdr>
    </w:div>
    <w:div w:id="1975989015">
      <w:bodyDiv w:val="1"/>
      <w:marLeft w:val="0"/>
      <w:marRight w:val="0"/>
      <w:marTop w:val="0"/>
      <w:marBottom w:val="0"/>
      <w:divBdr>
        <w:top w:val="none" w:sz="0" w:space="0" w:color="auto"/>
        <w:left w:val="none" w:sz="0" w:space="0" w:color="auto"/>
        <w:bottom w:val="none" w:sz="0" w:space="0" w:color="auto"/>
        <w:right w:val="none" w:sz="0" w:space="0" w:color="auto"/>
      </w:divBdr>
    </w:div>
    <w:div w:id="2053573637">
      <w:bodyDiv w:val="1"/>
      <w:marLeft w:val="0"/>
      <w:marRight w:val="0"/>
      <w:marTop w:val="0"/>
      <w:marBottom w:val="0"/>
      <w:divBdr>
        <w:top w:val="none" w:sz="0" w:space="0" w:color="auto"/>
        <w:left w:val="none" w:sz="0" w:space="0" w:color="auto"/>
        <w:bottom w:val="none" w:sz="0" w:space="0" w:color="auto"/>
        <w:right w:val="none" w:sz="0" w:space="0" w:color="auto"/>
      </w:divBdr>
    </w:div>
    <w:div w:id="21157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FEA2C-9EEC-4FC2-9730-B36099D5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2716</Words>
  <Characters>15486</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 Brkljačić - LIRA</dc:creator>
  <cp:keywords/>
  <dc:description/>
  <cp:lastModifiedBy>Ivana Grgurić</cp:lastModifiedBy>
  <cp:revision>4</cp:revision>
  <cp:lastPrinted>2023-01-30T12:35:00Z</cp:lastPrinted>
  <dcterms:created xsi:type="dcterms:W3CDTF">2023-01-29T17:11:00Z</dcterms:created>
  <dcterms:modified xsi:type="dcterms:W3CDTF">2023-01-30T12:36:00Z</dcterms:modified>
</cp:coreProperties>
</file>