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303" w14:textId="77777777" w:rsidR="00C83EAF" w:rsidRDefault="00C83EAF" w:rsidP="00AF3265"/>
    <w:p w14:paraId="4F61C2EC" w14:textId="77777777" w:rsidR="00FA11C1" w:rsidRDefault="00FA11C1" w:rsidP="00AF3265">
      <w:pPr>
        <w:pStyle w:val="Tijeloteksta"/>
        <w:spacing w:before="6"/>
        <w:rPr>
          <w:sz w:val="7"/>
        </w:rPr>
      </w:pPr>
    </w:p>
    <w:p w14:paraId="2F16AFD2" w14:textId="6D4FAFAE" w:rsidR="00665B0D" w:rsidRPr="00AF3265" w:rsidRDefault="00665B0D" w:rsidP="00665B0D">
      <w:pPr>
        <w:ind w:firstLine="708"/>
        <w:jc w:val="both"/>
      </w:pPr>
      <w:bookmarkStart w:id="0" w:name="_Hlk99008635"/>
      <w:r w:rsidRPr="00AF3265">
        <w:t>Na temelju članka 122. Zakona o proračunu (“Narodne novine“ br</w:t>
      </w:r>
      <w:r w:rsidR="00AF3265" w:rsidRPr="00AF3265">
        <w:t>.</w:t>
      </w:r>
      <w:r w:rsidRPr="00AF3265">
        <w:t xml:space="preserve"> 144/21), članka 6. Pravilnika o postupku</w:t>
      </w:r>
      <w:r w:rsidR="00AF3265" w:rsidRPr="00AF3265">
        <w:t xml:space="preserve"> dugoročnog</w:t>
      </w:r>
      <w:r w:rsidRPr="00AF3265">
        <w:t xml:space="preserve"> zaduživanja te davanja jamstava i suglasnosti jedinica lokalne i područne (regionalne) samouprave („Narodne novine“</w:t>
      </w:r>
      <w:r w:rsidR="006D40C7" w:rsidRPr="00AF3265">
        <w:t xml:space="preserve"> </w:t>
      </w:r>
      <w:r w:rsidRPr="00AF3265">
        <w:t>br</w:t>
      </w:r>
      <w:r w:rsidR="006D40C7" w:rsidRPr="00AF3265">
        <w:t xml:space="preserve">. </w:t>
      </w:r>
      <w:r w:rsidRPr="00AF3265">
        <w:t>67/22) i članka 33. Statuta Grada Gospića („Službeni vjesnik Grada Gospića“ br. 7/09, 5/10, 7/10, 1/12, 2/13, 3/13–p.t., 7/15, 1/18, 3/20 i 1/21), Gradsko vijeće Grada Gospića na sjednici održanoj dana</w:t>
      </w:r>
      <w:r w:rsidR="008C1ADD">
        <w:t xml:space="preserve"> 14. travnja</w:t>
      </w:r>
      <w:r w:rsidRPr="00AF3265">
        <w:t xml:space="preserve"> 2023. godine</w:t>
      </w:r>
      <w:r w:rsidR="00E83868">
        <w:t>,</w:t>
      </w:r>
      <w:r w:rsidRPr="00AF3265">
        <w:t xml:space="preserve"> donosi</w:t>
      </w:r>
    </w:p>
    <w:p w14:paraId="1463E32F" w14:textId="77777777" w:rsidR="00665B0D" w:rsidRPr="00AF3265" w:rsidRDefault="00665B0D" w:rsidP="00665B0D">
      <w:pPr>
        <w:ind w:firstLine="708"/>
        <w:jc w:val="both"/>
      </w:pPr>
    </w:p>
    <w:p w14:paraId="570F3806" w14:textId="77777777" w:rsidR="00665B0D" w:rsidRPr="00AF3265" w:rsidRDefault="00665B0D" w:rsidP="00665B0D">
      <w:pPr>
        <w:jc w:val="both"/>
      </w:pPr>
    </w:p>
    <w:p w14:paraId="7DE50FA0" w14:textId="48842CFE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t>O</w:t>
      </w:r>
      <w:r w:rsidR="006D40C7" w:rsidRPr="00AF3265">
        <w:rPr>
          <w:b/>
          <w:bCs/>
        </w:rPr>
        <w:t xml:space="preserve"> </w:t>
      </w:r>
      <w:r w:rsidRPr="00AF3265">
        <w:rPr>
          <w:b/>
          <w:bCs/>
        </w:rPr>
        <w:t>D</w:t>
      </w:r>
      <w:r w:rsidR="006D40C7" w:rsidRPr="00AF3265">
        <w:rPr>
          <w:b/>
          <w:bCs/>
        </w:rPr>
        <w:t xml:space="preserve"> </w:t>
      </w:r>
      <w:r w:rsidRPr="00AF3265">
        <w:rPr>
          <w:b/>
          <w:bCs/>
        </w:rPr>
        <w:t>L</w:t>
      </w:r>
      <w:r w:rsidR="006D40C7" w:rsidRPr="00AF3265">
        <w:rPr>
          <w:b/>
          <w:bCs/>
        </w:rPr>
        <w:t xml:space="preserve"> </w:t>
      </w:r>
      <w:r w:rsidRPr="00AF3265">
        <w:rPr>
          <w:b/>
          <w:bCs/>
        </w:rPr>
        <w:t>U</w:t>
      </w:r>
      <w:r w:rsidR="006D40C7" w:rsidRPr="00AF3265">
        <w:rPr>
          <w:b/>
          <w:bCs/>
        </w:rPr>
        <w:t xml:space="preserve"> </w:t>
      </w:r>
      <w:r w:rsidRPr="00AF3265">
        <w:rPr>
          <w:b/>
          <w:bCs/>
        </w:rPr>
        <w:t>K</w:t>
      </w:r>
      <w:r w:rsidR="006D40C7" w:rsidRPr="00AF3265">
        <w:rPr>
          <w:b/>
          <w:bCs/>
        </w:rPr>
        <w:t xml:space="preserve"> </w:t>
      </w:r>
      <w:r w:rsidRPr="00AF3265">
        <w:rPr>
          <w:b/>
          <w:bCs/>
        </w:rPr>
        <w:t>U</w:t>
      </w:r>
    </w:p>
    <w:p w14:paraId="579557F9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t xml:space="preserve">o zaduženju za potrebe provedbe projekta </w:t>
      </w:r>
    </w:p>
    <w:p w14:paraId="175CC633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t>„Dogradnja i opremanje dječjeg vrtića „Pahuljica“ u Gospiću“</w:t>
      </w:r>
    </w:p>
    <w:p w14:paraId="5D2C44BA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</w:p>
    <w:p w14:paraId="0655883D" w14:textId="77777777" w:rsidR="00665B0D" w:rsidRPr="00AF3265" w:rsidRDefault="00665B0D" w:rsidP="00665B0D">
      <w:pPr>
        <w:jc w:val="center"/>
        <w:rPr>
          <w:b/>
          <w:bCs/>
        </w:rPr>
      </w:pPr>
    </w:p>
    <w:p w14:paraId="1A583885" w14:textId="77777777" w:rsidR="00665B0D" w:rsidRPr="00AF3265" w:rsidRDefault="00665B0D" w:rsidP="00665B0D">
      <w:pPr>
        <w:jc w:val="center"/>
        <w:rPr>
          <w:b/>
          <w:bCs/>
        </w:rPr>
      </w:pPr>
      <w:r w:rsidRPr="00AF3265">
        <w:rPr>
          <w:b/>
          <w:bCs/>
        </w:rPr>
        <w:t>Članak 1.</w:t>
      </w:r>
    </w:p>
    <w:p w14:paraId="457D0E2C" w14:textId="77777777" w:rsidR="00665B0D" w:rsidRPr="00AF3265" w:rsidRDefault="00665B0D" w:rsidP="00665B0D">
      <w:pPr>
        <w:jc w:val="center"/>
        <w:rPr>
          <w:b/>
          <w:bCs/>
        </w:rPr>
      </w:pPr>
    </w:p>
    <w:p w14:paraId="69958F3D" w14:textId="77777777" w:rsidR="00665B0D" w:rsidRPr="00AF3265" w:rsidRDefault="00665B0D" w:rsidP="00665B0D">
      <w:pPr>
        <w:spacing w:line="276" w:lineRule="auto"/>
        <w:ind w:firstLine="708"/>
        <w:jc w:val="both"/>
      </w:pPr>
      <w:bookmarkStart w:id="1" w:name="_Hlk65664143"/>
      <w:r w:rsidRPr="00AF3265">
        <w:t>Odobrava se zaduženje Grada Gospića podizanjem kredita kod Hrvatske banke za obnovu i razvitak u iznosu od 1.600.000,00 eura, u sklopu kreditne linije „Investicije javnog sektora“, a za potrebe vlastitog udjela sufinanciranja u provedbi projekta „Dogradnja i opremanje dječjeg vrtića „Pahuljica“ u Gospiću“, NPOO.C3.1.R1-I1.01.0279. za koji su sredstva osigurana iz Mehanizma za oporavak i otpornost.</w:t>
      </w:r>
    </w:p>
    <w:p w14:paraId="29A50E86" w14:textId="77777777" w:rsidR="00665B0D" w:rsidRPr="00AF3265" w:rsidRDefault="00665B0D" w:rsidP="00665B0D">
      <w:pPr>
        <w:spacing w:before="240" w:line="276" w:lineRule="auto"/>
        <w:jc w:val="center"/>
        <w:rPr>
          <w:b/>
          <w:bCs/>
        </w:rPr>
      </w:pPr>
      <w:r w:rsidRPr="00AF3265">
        <w:rPr>
          <w:b/>
          <w:bCs/>
        </w:rPr>
        <w:t>Članak 2.</w:t>
      </w:r>
    </w:p>
    <w:p w14:paraId="3C2AEBB8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</w:p>
    <w:p w14:paraId="55A1BECB" w14:textId="77777777" w:rsidR="00665B0D" w:rsidRPr="008C1ADD" w:rsidRDefault="00665B0D" w:rsidP="00665B0D">
      <w:pPr>
        <w:spacing w:line="276" w:lineRule="auto"/>
        <w:ind w:firstLine="708"/>
        <w:jc w:val="both"/>
      </w:pPr>
      <w:r w:rsidRPr="008C1ADD">
        <w:t>Zaduženje iz ove Odluke provest će se pod sljedećim uvjetima: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5323"/>
      </w:tblGrid>
      <w:tr w:rsidR="00665B0D" w:rsidRPr="008C1ADD" w14:paraId="476E0B24" w14:textId="77777777" w:rsidTr="00A3061D">
        <w:trPr>
          <w:trHeight w:val="320"/>
        </w:trPr>
        <w:tc>
          <w:tcPr>
            <w:tcW w:w="2059" w:type="pct"/>
            <w:shd w:val="clear" w:color="auto" w:fill="auto"/>
          </w:tcPr>
          <w:p w14:paraId="3921607E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Iznos</w:t>
            </w:r>
            <w:r w:rsidRPr="008C1ADD">
              <w:rPr>
                <w:rFonts w:eastAsia="Calibri"/>
                <w:i/>
                <w:spacing w:val="-3"/>
              </w:rPr>
              <w:t xml:space="preserve"> </w:t>
            </w:r>
            <w:r w:rsidRPr="008C1ADD">
              <w:rPr>
                <w:rFonts w:eastAsia="Calibri"/>
                <w:i/>
              </w:rPr>
              <w:t>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507F8715" w14:textId="77777777" w:rsidR="00665B0D" w:rsidRPr="008C1ADD" w:rsidRDefault="00665B0D" w:rsidP="00A3061D">
            <w:pPr>
              <w:pStyle w:val="TableParagraph"/>
              <w:rPr>
                <w:rFonts w:eastAsia="Calibri"/>
                <w:bCs/>
              </w:rPr>
            </w:pPr>
            <w:r w:rsidRPr="008C1ADD">
              <w:rPr>
                <w:rFonts w:eastAsia="Calibri"/>
                <w:bCs/>
              </w:rPr>
              <w:t>1.600.000,00 eura</w:t>
            </w:r>
          </w:p>
        </w:tc>
      </w:tr>
      <w:tr w:rsidR="00665B0D" w:rsidRPr="008C1ADD" w14:paraId="121801C6" w14:textId="77777777" w:rsidTr="00A3061D">
        <w:trPr>
          <w:trHeight w:val="632"/>
        </w:trPr>
        <w:tc>
          <w:tcPr>
            <w:tcW w:w="2059" w:type="pct"/>
            <w:shd w:val="clear" w:color="auto" w:fill="auto"/>
          </w:tcPr>
          <w:p w14:paraId="63AE4E1A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Namjena 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30F7161C" w14:textId="77777777" w:rsidR="00665B0D" w:rsidRPr="008C1ADD" w:rsidRDefault="00665B0D" w:rsidP="00A3061D">
            <w:pPr>
              <w:pStyle w:val="TableParagraph"/>
              <w:spacing w:before="4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Dogradnja i opremanje dječjeg vrtića „Pahuljica“ u Gospiću</w:t>
            </w:r>
          </w:p>
        </w:tc>
      </w:tr>
      <w:tr w:rsidR="00665B0D" w:rsidRPr="008C1ADD" w14:paraId="72264F5A" w14:textId="77777777" w:rsidTr="00A3061D">
        <w:trPr>
          <w:trHeight w:val="320"/>
        </w:trPr>
        <w:tc>
          <w:tcPr>
            <w:tcW w:w="2059" w:type="pct"/>
            <w:shd w:val="clear" w:color="auto" w:fill="auto"/>
          </w:tcPr>
          <w:p w14:paraId="3E08B4FD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Valuta</w:t>
            </w:r>
            <w:r w:rsidRPr="008C1ADD">
              <w:rPr>
                <w:rFonts w:eastAsia="Calibri"/>
                <w:i/>
                <w:spacing w:val="-1"/>
              </w:rPr>
              <w:t xml:space="preserve"> </w:t>
            </w:r>
            <w:r w:rsidRPr="008C1ADD">
              <w:rPr>
                <w:rFonts w:eastAsia="Calibri"/>
                <w:i/>
              </w:rPr>
              <w:t>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6F142041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U</w:t>
            </w:r>
            <w:r w:rsidRPr="008C1ADD">
              <w:rPr>
                <w:rFonts w:eastAsia="Calibri"/>
                <w:spacing w:val="-2"/>
              </w:rPr>
              <w:t xml:space="preserve"> </w:t>
            </w:r>
            <w:r w:rsidRPr="008C1ADD">
              <w:rPr>
                <w:rFonts w:eastAsia="Calibri"/>
              </w:rPr>
              <w:t>eurima</w:t>
            </w:r>
          </w:p>
        </w:tc>
      </w:tr>
      <w:tr w:rsidR="00665B0D" w:rsidRPr="008C1ADD" w14:paraId="71A2A967" w14:textId="77777777" w:rsidTr="00A3061D">
        <w:trPr>
          <w:trHeight w:val="636"/>
        </w:trPr>
        <w:tc>
          <w:tcPr>
            <w:tcW w:w="2059" w:type="pct"/>
            <w:shd w:val="clear" w:color="auto" w:fill="auto"/>
          </w:tcPr>
          <w:p w14:paraId="42BF25B5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Krajnji</w:t>
            </w:r>
            <w:r w:rsidRPr="008C1ADD">
              <w:rPr>
                <w:rFonts w:eastAsia="Calibri"/>
                <w:i/>
                <w:spacing w:val="-1"/>
              </w:rPr>
              <w:t xml:space="preserve"> </w:t>
            </w:r>
            <w:r w:rsidRPr="008C1ADD">
              <w:rPr>
                <w:rFonts w:eastAsia="Calibri"/>
                <w:i/>
              </w:rPr>
              <w:t>rok korištenja</w:t>
            </w:r>
            <w:r w:rsidRPr="008C1ADD">
              <w:rPr>
                <w:rFonts w:eastAsia="Calibri"/>
                <w:i/>
                <w:spacing w:val="-2"/>
              </w:rPr>
              <w:t xml:space="preserve"> </w:t>
            </w:r>
            <w:r w:rsidRPr="008C1ADD">
              <w:rPr>
                <w:rFonts w:eastAsia="Calibri"/>
                <w:i/>
              </w:rPr>
              <w:t>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3A166DE4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Do</w:t>
            </w:r>
            <w:r w:rsidRPr="008C1ADD">
              <w:rPr>
                <w:rFonts w:eastAsia="Calibri"/>
                <w:spacing w:val="51"/>
              </w:rPr>
              <w:t xml:space="preserve"> </w:t>
            </w:r>
            <w:r w:rsidRPr="008C1ADD">
              <w:rPr>
                <w:rFonts w:eastAsia="Calibri"/>
              </w:rPr>
              <w:t>30.06.2026.</w:t>
            </w:r>
          </w:p>
          <w:p w14:paraId="09829534" w14:textId="77777777" w:rsidR="00665B0D" w:rsidRPr="008C1ADD" w:rsidRDefault="00665B0D" w:rsidP="00A3061D">
            <w:pPr>
              <w:pStyle w:val="TableParagraph"/>
              <w:spacing w:before="40"/>
              <w:rPr>
                <w:rFonts w:eastAsia="Calibri"/>
              </w:rPr>
            </w:pPr>
          </w:p>
        </w:tc>
      </w:tr>
      <w:tr w:rsidR="00665B0D" w:rsidRPr="008C1ADD" w14:paraId="1747C39C" w14:textId="77777777" w:rsidTr="00A3061D">
        <w:trPr>
          <w:trHeight w:val="952"/>
        </w:trPr>
        <w:tc>
          <w:tcPr>
            <w:tcW w:w="2059" w:type="pct"/>
            <w:shd w:val="clear" w:color="auto" w:fill="auto"/>
          </w:tcPr>
          <w:p w14:paraId="0849D97F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Način</w:t>
            </w:r>
            <w:r w:rsidRPr="008C1ADD">
              <w:rPr>
                <w:rFonts w:eastAsia="Calibri"/>
                <w:i/>
                <w:spacing w:val="-1"/>
              </w:rPr>
              <w:t xml:space="preserve"> </w:t>
            </w:r>
            <w:r w:rsidRPr="008C1ADD">
              <w:rPr>
                <w:rFonts w:eastAsia="Calibri"/>
                <w:i/>
              </w:rPr>
              <w:t>otplate 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14298108" w14:textId="77777777" w:rsidR="00665B0D" w:rsidRPr="008C1ADD" w:rsidRDefault="00665B0D" w:rsidP="00A3061D">
            <w:pPr>
              <w:pStyle w:val="TableParagraph"/>
              <w:spacing w:line="276" w:lineRule="auto"/>
              <w:ind w:right="85"/>
              <w:rPr>
                <w:rFonts w:eastAsia="Calibri"/>
              </w:rPr>
            </w:pPr>
            <w:r w:rsidRPr="008C1ADD">
              <w:rPr>
                <w:rFonts w:eastAsia="Calibri"/>
              </w:rPr>
              <w:t>15</w:t>
            </w:r>
            <w:r w:rsidRPr="008C1ADD">
              <w:rPr>
                <w:rFonts w:eastAsia="Calibri"/>
                <w:spacing w:val="28"/>
              </w:rPr>
              <w:t xml:space="preserve"> </w:t>
            </w:r>
            <w:r w:rsidRPr="008C1ADD">
              <w:rPr>
                <w:rFonts w:eastAsia="Calibri"/>
              </w:rPr>
              <w:t>godina bez počeka</w:t>
            </w:r>
          </w:p>
        </w:tc>
      </w:tr>
      <w:tr w:rsidR="00665B0D" w:rsidRPr="008C1ADD" w14:paraId="06E38D20" w14:textId="77777777" w:rsidTr="00A3061D">
        <w:trPr>
          <w:trHeight w:val="316"/>
        </w:trPr>
        <w:tc>
          <w:tcPr>
            <w:tcW w:w="2059" w:type="pct"/>
            <w:shd w:val="clear" w:color="auto" w:fill="auto"/>
          </w:tcPr>
          <w:p w14:paraId="3727F7E3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Kamatna stopa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135D8C7F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2.1%, godišnje; fiksna</w:t>
            </w:r>
          </w:p>
        </w:tc>
      </w:tr>
      <w:tr w:rsidR="00665B0D" w:rsidRPr="008C1ADD" w14:paraId="2C4D7937" w14:textId="77777777" w:rsidTr="00A3061D">
        <w:trPr>
          <w:trHeight w:val="664"/>
        </w:trPr>
        <w:tc>
          <w:tcPr>
            <w:tcW w:w="2059" w:type="pct"/>
            <w:shd w:val="clear" w:color="auto" w:fill="auto"/>
          </w:tcPr>
          <w:p w14:paraId="62A9C5D0" w14:textId="77777777" w:rsidR="00665B0D" w:rsidRPr="008C1ADD" w:rsidRDefault="00665B0D" w:rsidP="00A3061D">
            <w:pPr>
              <w:pStyle w:val="TableParagraph"/>
              <w:spacing w:before="5"/>
              <w:ind w:left="0"/>
              <w:rPr>
                <w:rFonts w:eastAsia="Calibri"/>
              </w:rPr>
            </w:pPr>
          </w:p>
          <w:p w14:paraId="26169774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proofErr w:type="spellStart"/>
            <w:r w:rsidRPr="008C1ADD">
              <w:rPr>
                <w:rFonts w:eastAsia="Calibri"/>
                <w:i/>
              </w:rPr>
              <w:t>Interkalarna</w:t>
            </w:r>
            <w:proofErr w:type="spellEnd"/>
            <w:r w:rsidRPr="008C1ADD">
              <w:rPr>
                <w:rFonts w:eastAsia="Calibri"/>
                <w:i/>
                <w:spacing w:val="-1"/>
              </w:rPr>
              <w:t xml:space="preserve"> </w:t>
            </w:r>
            <w:r w:rsidRPr="008C1ADD">
              <w:rPr>
                <w:rFonts w:eastAsia="Calibri"/>
                <w:i/>
              </w:rPr>
              <w:t>kamata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4BBCFD47" w14:textId="77777777" w:rsidR="00665B0D" w:rsidRPr="008C1ADD" w:rsidRDefault="00665B0D" w:rsidP="00A3061D">
            <w:pPr>
              <w:pStyle w:val="TableParagraph"/>
              <w:spacing w:line="278" w:lineRule="auto"/>
              <w:ind w:right="77"/>
              <w:rPr>
                <w:rFonts w:eastAsia="Calibri"/>
              </w:rPr>
            </w:pPr>
            <w:r w:rsidRPr="008C1ADD">
              <w:rPr>
                <w:rFonts w:eastAsia="Calibri"/>
              </w:rPr>
              <w:t>U</w:t>
            </w:r>
            <w:r w:rsidRPr="008C1ADD">
              <w:rPr>
                <w:rFonts w:eastAsia="Calibri"/>
                <w:spacing w:val="15"/>
              </w:rPr>
              <w:t xml:space="preserve"> </w:t>
            </w:r>
            <w:r w:rsidRPr="008C1ADD">
              <w:rPr>
                <w:rFonts w:eastAsia="Calibri"/>
              </w:rPr>
              <w:t>razdoblju</w:t>
            </w:r>
            <w:r w:rsidRPr="008C1ADD">
              <w:rPr>
                <w:rFonts w:eastAsia="Calibri"/>
                <w:spacing w:val="17"/>
              </w:rPr>
              <w:t xml:space="preserve"> </w:t>
            </w:r>
            <w:r w:rsidRPr="008C1ADD">
              <w:rPr>
                <w:rFonts w:eastAsia="Calibri"/>
              </w:rPr>
              <w:t>korištenja</w:t>
            </w:r>
            <w:r w:rsidRPr="008C1ADD">
              <w:rPr>
                <w:rFonts w:eastAsia="Calibri"/>
                <w:spacing w:val="18"/>
              </w:rPr>
              <w:t xml:space="preserve"> </w:t>
            </w:r>
            <w:r w:rsidRPr="008C1ADD">
              <w:rPr>
                <w:rFonts w:eastAsia="Calibri"/>
              </w:rPr>
              <w:t>kredita</w:t>
            </w:r>
            <w:r w:rsidRPr="008C1ADD">
              <w:rPr>
                <w:rFonts w:eastAsia="Calibri"/>
                <w:spacing w:val="17"/>
              </w:rPr>
              <w:t xml:space="preserve"> </w:t>
            </w:r>
            <w:r w:rsidRPr="008C1ADD">
              <w:rPr>
                <w:rFonts w:eastAsia="Calibri"/>
              </w:rPr>
              <w:t>na</w:t>
            </w:r>
            <w:r w:rsidRPr="008C1ADD">
              <w:rPr>
                <w:rFonts w:eastAsia="Calibri"/>
                <w:spacing w:val="15"/>
              </w:rPr>
              <w:t xml:space="preserve"> </w:t>
            </w:r>
            <w:r w:rsidRPr="008C1ADD">
              <w:rPr>
                <w:rFonts w:eastAsia="Calibri"/>
              </w:rPr>
              <w:t>iskorišteni</w:t>
            </w:r>
            <w:r w:rsidRPr="008C1ADD">
              <w:rPr>
                <w:rFonts w:eastAsia="Calibri"/>
                <w:spacing w:val="18"/>
              </w:rPr>
              <w:t xml:space="preserve"> </w:t>
            </w:r>
            <w:r w:rsidRPr="008C1ADD">
              <w:rPr>
                <w:rFonts w:eastAsia="Calibri"/>
              </w:rPr>
              <w:t>iznos</w:t>
            </w:r>
            <w:r w:rsidRPr="008C1ADD">
              <w:rPr>
                <w:rFonts w:eastAsia="Calibri"/>
                <w:spacing w:val="24"/>
              </w:rPr>
              <w:t xml:space="preserve"> </w:t>
            </w:r>
            <w:r w:rsidRPr="008C1ADD">
              <w:rPr>
                <w:rFonts w:eastAsia="Calibri"/>
              </w:rPr>
              <w:t>kredita,</w:t>
            </w:r>
            <w:r w:rsidRPr="008C1ADD">
              <w:rPr>
                <w:rFonts w:eastAsia="Calibri"/>
                <w:spacing w:val="-57"/>
              </w:rPr>
              <w:t xml:space="preserve"> </w:t>
            </w:r>
            <w:r w:rsidRPr="008C1ADD">
              <w:rPr>
                <w:rFonts w:eastAsia="Calibri"/>
              </w:rPr>
              <w:t>a obračunava</w:t>
            </w:r>
            <w:r w:rsidRPr="008C1ADD">
              <w:rPr>
                <w:rFonts w:eastAsia="Calibri"/>
                <w:spacing w:val="1"/>
              </w:rPr>
              <w:t xml:space="preserve"> </w:t>
            </w:r>
            <w:r w:rsidRPr="008C1ADD">
              <w:rPr>
                <w:rFonts w:eastAsia="Calibri"/>
              </w:rPr>
              <w:t>se u visini redovne kamate</w:t>
            </w:r>
          </w:p>
        </w:tc>
      </w:tr>
      <w:tr w:rsidR="00665B0D" w:rsidRPr="008C1ADD" w14:paraId="0D527F0E" w14:textId="77777777" w:rsidTr="00A3061D">
        <w:trPr>
          <w:trHeight w:val="636"/>
        </w:trPr>
        <w:tc>
          <w:tcPr>
            <w:tcW w:w="2059" w:type="pct"/>
            <w:shd w:val="clear" w:color="auto" w:fill="auto"/>
          </w:tcPr>
          <w:p w14:paraId="33300674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Zatezna</w:t>
            </w:r>
            <w:r w:rsidRPr="008C1ADD">
              <w:rPr>
                <w:rFonts w:eastAsia="Calibri"/>
                <w:i/>
                <w:spacing w:val="-2"/>
              </w:rPr>
              <w:t xml:space="preserve"> </w:t>
            </w:r>
            <w:r w:rsidRPr="008C1ADD">
              <w:rPr>
                <w:rFonts w:eastAsia="Calibri"/>
                <w:i/>
              </w:rPr>
              <w:t>kamata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547450F4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U</w:t>
            </w:r>
            <w:r w:rsidRPr="008C1ADD">
              <w:rPr>
                <w:rFonts w:eastAsia="Calibri"/>
                <w:spacing w:val="45"/>
              </w:rPr>
              <w:t xml:space="preserve"> </w:t>
            </w:r>
            <w:r w:rsidRPr="008C1ADD">
              <w:rPr>
                <w:rFonts w:eastAsia="Calibri"/>
              </w:rPr>
              <w:t>skladu</w:t>
            </w:r>
            <w:r w:rsidRPr="008C1ADD">
              <w:rPr>
                <w:rFonts w:eastAsia="Calibri"/>
                <w:spacing w:val="105"/>
              </w:rPr>
              <w:t xml:space="preserve"> </w:t>
            </w:r>
            <w:r w:rsidRPr="008C1ADD">
              <w:rPr>
                <w:rFonts w:eastAsia="Calibri"/>
              </w:rPr>
              <w:t>s</w:t>
            </w:r>
            <w:r w:rsidRPr="008C1ADD">
              <w:rPr>
                <w:rFonts w:eastAsia="Calibri"/>
                <w:spacing w:val="104"/>
              </w:rPr>
              <w:t xml:space="preserve"> </w:t>
            </w:r>
            <w:r w:rsidRPr="008C1ADD">
              <w:rPr>
                <w:rFonts w:eastAsia="Calibri"/>
              </w:rPr>
              <w:t>važećim</w:t>
            </w:r>
            <w:r w:rsidRPr="008C1ADD">
              <w:rPr>
                <w:rFonts w:eastAsia="Calibri"/>
                <w:spacing w:val="106"/>
              </w:rPr>
              <w:t xml:space="preserve"> </w:t>
            </w:r>
            <w:r w:rsidRPr="008C1ADD">
              <w:rPr>
                <w:rFonts w:eastAsia="Calibri"/>
              </w:rPr>
              <w:t>Pravilnikom</w:t>
            </w:r>
            <w:r w:rsidRPr="008C1ADD">
              <w:rPr>
                <w:rFonts w:eastAsia="Calibri"/>
                <w:spacing w:val="106"/>
              </w:rPr>
              <w:t xml:space="preserve"> </w:t>
            </w:r>
            <w:r w:rsidRPr="008C1ADD">
              <w:rPr>
                <w:rFonts w:eastAsia="Calibri"/>
              </w:rPr>
              <w:t>o načinu i rokovima obračuna kamata,</w:t>
            </w:r>
            <w:r w:rsidRPr="008C1ADD">
              <w:rPr>
                <w:rFonts w:eastAsia="Calibri"/>
                <w:spacing w:val="-3"/>
              </w:rPr>
              <w:t xml:space="preserve"> </w:t>
            </w:r>
            <w:r w:rsidRPr="008C1ADD">
              <w:rPr>
                <w:rFonts w:eastAsia="Calibri"/>
              </w:rPr>
              <w:t>promjenjiva</w:t>
            </w:r>
          </w:p>
        </w:tc>
      </w:tr>
      <w:tr w:rsidR="00665B0D" w:rsidRPr="008C1ADD" w14:paraId="0909D460" w14:textId="77777777" w:rsidTr="00A3061D">
        <w:trPr>
          <w:trHeight w:val="636"/>
        </w:trPr>
        <w:tc>
          <w:tcPr>
            <w:tcW w:w="2059" w:type="pct"/>
            <w:shd w:val="clear" w:color="auto" w:fill="auto"/>
          </w:tcPr>
          <w:p w14:paraId="30E0EA78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</w:rPr>
            </w:pPr>
            <w:r w:rsidRPr="008C1ADD">
              <w:rPr>
                <w:rFonts w:eastAsia="Calibri"/>
                <w:i/>
              </w:rPr>
              <w:t>Naknada</w:t>
            </w:r>
            <w:r w:rsidRPr="008C1ADD">
              <w:rPr>
                <w:rFonts w:eastAsia="Calibri"/>
                <w:i/>
                <w:spacing w:val="-1"/>
              </w:rPr>
              <w:t xml:space="preserve"> </w:t>
            </w:r>
            <w:r w:rsidRPr="008C1ADD">
              <w:rPr>
                <w:rFonts w:eastAsia="Calibri"/>
                <w:i/>
              </w:rPr>
              <w:t>za obradu 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3F8FC1C7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0,2% jednokratno, prije prvog korištenja</w:t>
            </w:r>
          </w:p>
        </w:tc>
      </w:tr>
      <w:tr w:rsidR="00665B0D" w:rsidRPr="008C1ADD" w14:paraId="763DB7AD" w14:textId="77777777" w:rsidTr="00A3061D">
        <w:trPr>
          <w:trHeight w:val="636"/>
        </w:trPr>
        <w:tc>
          <w:tcPr>
            <w:tcW w:w="2059" w:type="pct"/>
            <w:shd w:val="clear" w:color="auto" w:fill="auto"/>
          </w:tcPr>
          <w:p w14:paraId="59251BA0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  <w:i/>
              </w:rPr>
            </w:pPr>
            <w:r w:rsidRPr="008C1ADD">
              <w:rPr>
                <w:rFonts w:eastAsia="Calibri"/>
                <w:i/>
              </w:rPr>
              <w:t>Naknada</w:t>
            </w:r>
            <w:r w:rsidRPr="008C1ADD">
              <w:rPr>
                <w:rFonts w:eastAsia="Calibri"/>
                <w:i/>
                <w:spacing w:val="-2"/>
              </w:rPr>
              <w:t xml:space="preserve"> </w:t>
            </w:r>
            <w:r w:rsidRPr="008C1ADD">
              <w:rPr>
                <w:rFonts w:eastAsia="Calibri"/>
                <w:i/>
              </w:rPr>
              <w:t>za</w:t>
            </w:r>
            <w:r w:rsidRPr="008C1ADD">
              <w:rPr>
                <w:rFonts w:eastAsia="Calibri"/>
                <w:i/>
                <w:spacing w:val="-1"/>
              </w:rPr>
              <w:t xml:space="preserve"> </w:t>
            </w:r>
            <w:r w:rsidRPr="008C1ADD">
              <w:rPr>
                <w:rFonts w:eastAsia="Calibri"/>
                <w:i/>
              </w:rPr>
              <w:t>rezervaciju sredstva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7FA19E2A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Ne</w:t>
            </w:r>
            <w:r w:rsidRPr="008C1ADD">
              <w:rPr>
                <w:rFonts w:eastAsia="Calibri"/>
                <w:spacing w:val="-1"/>
              </w:rPr>
              <w:t xml:space="preserve"> </w:t>
            </w:r>
            <w:r w:rsidRPr="008C1ADD">
              <w:rPr>
                <w:rFonts w:eastAsia="Calibri"/>
              </w:rPr>
              <w:t>obračunava</w:t>
            </w:r>
            <w:r w:rsidRPr="008C1ADD">
              <w:rPr>
                <w:rFonts w:eastAsia="Calibri"/>
                <w:spacing w:val="-1"/>
              </w:rPr>
              <w:t xml:space="preserve"> </w:t>
            </w:r>
            <w:r w:rsidRPr="008C1ADD">
              <w:rPr>
                <w:rFonts w:eastAsia="Calibri"/>
              </w:rPr>
              <w:t>se</w:t>
            </w:r>
          </w:p>
        </w:tc>
      </w:tr>
      <w:tr w:rsidR="00665B0D" w:rsidRPr="008C1ADD" w14:paraId="12959764" w14:textId="77777777" w:rsidTr="00A3061D">
        <w:trPr>
          <w:trHeight w:val="636"/>
        </w:trPr>
        <w:tc>
          <w:tcPr>
            <w:tcW w:w="2059" w:type="pct"/>
            <w:shd w:val="clear" w:color="auto" w:fill="auto"/>
          </w:tcPr>
          <w:p w14:paraId="38BC62F5" w14:textId="77777777" w:rsidR="00665B0D" w:rsidRPr="008C1ADD" w:rsidRDefault="00665B0D" w:rsidP="00A3061D">
            <w:pPr>
              <w:pStyle w:val="TableParagraph"/>
              <w:ind w:left="110"/>
              <w:rPr>
                <w:rFonts w:eastAsia="Calibri"/>
                <w:i/>
              </w:rPr>
            </w:pPr>
            <w:r w:rsidRPr="008C1ADD">
              <w:rPr>
                <w:rFonts w:eastAsia="Calibri"/>
                <w:i/>
              </w:rPr>
              <w:t>Prijevremena otplata kredita:</w:t>
            </w:r>
          </w:p>
        </w:tc>
        <w:tc>
          <w:tcPr>
            <w:tcW w:w="2941" w:type="pct"/>
            <w:shd w:val="clear" w:color="auto" w:fill="auto"/>
          </w:tcPr>
          <w:p w14:paraId="2E2D1544" w14:textId="77777777" w:rsidR="00665B0D" w:rsidRPr="008C1ADD" w:rsidRDefault="00665B0D" w:rsidP="00A3061D">
            <w:pPr>
              <w:pStyle w:val="TableParagraph"/>
              <w:rPr>
                <w:rFonts w:eastAsia="Calibri"/>
              </w:rPr>
            </w:pPr>
            <w:r w:rsidRPr="008C1ADD">
              <w:rPr>
                <w:rFonts w:eastAsia="Calibri"/>
              </w:rPr>
              <w:t>Moguća uz prethodnu pisanu obavijest HBOR-u te uključuje plaćanje naknade u iznosu 1% od svote prijevremeno otplaćene glavnice</w:t>
            </w:r>
          </w:p>
        </w:tc>
      </w:tr>
      <w:tr w:rsidR="00665B0D" w:rsidRPr="008C1ADD" w14:paraId="117EE6C6" w14:textId="77777777" w:rsidTr="00A3061D">
        <w:trPr>
          <w:trHeight w:val="689"/>
        </w:trPr>
        <w:tc>
          <w:tcPr>
            <w:tcW w:w="2059" w:type="pct"/>
            <w:shd w:val="clear" w:color="auto" w:fill="auto"/>
          </w:tcPr>
          <w:p w14:paraId="0FDD87F6" w14:textId="77777777" w:rsidR="00665B0D" w:rsidRPr="008C1ADD" w:rsidRDefault="00665B0D" w:rsidP="00A3061D">
            <w:pPr>
              <w:pStyle w:val="TableParagraph"/>
              <w:spacing w:line="276" w:lineRule="auto"/>
              <w:ind w:left="110" w:right="1515"/>
              <w:rPr>
                <w:rFonts w:eastAsia="Calibri"/>
                <w:i/>
              </w:rPr>
            </w:pPr>
            <w:r w:rsidRPr="008C1ADD">
              <w:rPr>
                <w:rFonts w:eastAsia="Calibri"/>
                <w:i/>
              </w:rPr>
              <w:t>Instrumenti</w:t>
            </w:r>
            <w:r w:rsidRPr="008C1ADD">
              <w:rPr>
                <w:rFonts w:eastAsia="Calibri"/>
                <w:i/>
                <w:spacing w:val="-2"/>
              </w:rPr>
              <w:t xml:space="preserve"> </w:t>
            </w:r>
            <w:r w:rsidRPr="008C1ADD">
              <w:rPr>
                <w:rFonts w:eastAsia="Calibri"/>
                <w:i/>
              </w:rPr>
              <w:t>osiguranja</w:t>
            </w:r>
            <w:r w:rsidRPr="008C1ADD">
              <w:rPr>
                <w:rFonts w:eastAsia="Calibri"/>
                <w:i/>
                <w:spacing w:val="-2"/>
              </w:rPr>
              <w:t xml:space="preserve"> </w:t>
            </w:r>
            <w:r w:rsidRPr="008C1ADD">
              <w:rPr>
                <w:rFonts w:eastAsia="Calibri"/>
                <w:i/>
              </w:rPr>
              <w:t>kredita</w:t>
            </w:r>
            <w:r w:rsidRPr="008C1ADD">
              <w:rPr>
                <w:rFonts w:eastAsia="Calibri"/>
              </w:rPr>
              <w:t>:</w:t>
            </w:r>
          </w:p>
        </w:tc>
        <w:tc>
          <w:tcPr>
            <w:tcW w:w="2941" w:type="pct"/>
            <w:shd w:val="clear" w:color="auto" w:fill="auto"/>
          </w:tcPr>
          <w:p w14:paraId="40B5976C" w14:textId="77777777" w:rsidR="00665B0D" w:rsidRPr="008C1ADD" w:rsidRDefault="00665B0D" w:rsidP="00A3061D">
            <w:pPr>
              <w:pStyle w:val="TableParagraph"/>
              <w:spacing w:before="7"/>
              <w:ind w:left="0"/>
              <w:rPr>
                <w:rFonts w:eastAsia="Calibri"/>
              </w:rPr>
            </w:pPr>
            <w:r w:rsidRPr="008C1ADD">
              <w:rPr>
                <w:rFonts w:eastAsia="Calibri"/>
              </w:rPr>
              <w:t xml:space="preserve">  Mjenica</w:t>
            </w:r>
            <w:r w:rsidRPr="008C1ADD">
              <w:rPr>
                <w:rFonts w:eastAsia="Calibri"/>
                <w:spacing w:val="-5"/>
              </w:rPr>
              <w:t xml:space="preserve"> </w:t>
            </w:r>
            <w:r w:rsidRPr="008C1ADD">
              <w:rPr>
                <w:rFonts w:eastAsia="Calibri"/>
              </w:rPr>
              <w:t>i/ili</w:t>
            </w:r>
            <w:r w:rsidRPr="008C1ADD">
              <w:rPr>
                <w:rFonts w:eastAsia="Calibri"/>
                <w:spacing w:val="-1"/>
              </w:rPr>
              <w:t xml:space="preserve"> </w:t>
            </w:r>
            <w:r w:rsidRPr="008C1ADD">
              <w:rPr>
                <w:rFonts w:eastAsia="Calibri"/>
              </w:rPr>
              <w:t>zadužnice</w:t>
            </w:r>
            <w:r w:rsidRPr="008C1ADD">
              <w:rPr>
                <w:rFonts w:eastAsia="Calibri"/>
                <w:spacing w:val="-1"/>
              </w:rPr>
              <w:t xml:space="preserve"> </w:t>
            </w:r>
            <w:r w:rsidRPr="008C1ADD">
              <w:rPr>
                <w:rFonts w:eastAsia="Calibri"/>
              </w:rPr>
              <w:t>Grada</w:t>
            </w:r>
          </w:p>
        </w:tc>
      </w:tr>
    </w:tbl>
    <w:p w14:paraId="5A31877C" w14:textId="3D3702F0" w:rsidR="00AF3265" w:rsidRPr="00AF3265" w:rsidRDefault="00AF3265" w:rsidP="008C1ADD">
      <w:pPr>
        <w:tabs>
          <w:tab w:val="left" w:pos="5175"/>
        </w:tabs>
        <w:spacing w:before="240" w:line="276" w:lineRule="auto"/>
        <w:rPr>
          <w:b/>
          <w:bCs/>
        </w:rPr>
      </w:pPr>
      <w:r w:rsidRPr="00AF3265">
        <w:rPr>
          <w:b/>
          <w:bCs/>
        </w:rPr>
        <w:tab/>
      </w:r>
    </w:p>
    <w:bookmarkEnd w:id="1"/>
    <w:p w14:paraId="4BEB8ADB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lastRenderedPageBreak/>
        <w:t>Članak 3.</w:t>
      </w:r>
    </w:p>
    <w:p w14:paraId="263ACF46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</w:p>
    <w:p w14:paraId="392E707E" w14:textId="77777777" w:rsidR="00665B0D" w:rsidRPr="00AF3265" w:rsidRDefault="00665B0D" w:rsidP="00665B0D">
      <w:pPr>
        <w:spacing w:line="276" w:lineRule="auto"/>
        <w:ind w:firstLine="708"/>
        <w:jc w:val="both"/>
      </w:pPr>
      <w:r w:rsidRPr="00AF3265">
        <w:t>Sredstva za otplatu kredita (</w:t>
      </w:r>
      <w:proofErr w:type="spellStart"/>
      <w:r w:rsidRPr="00AF3265">
        <w:t>interkalarne</w:t>
      </w:r>
      <w:proofErr w:type="spellEnd"/>
      <w:r w:rsidRPr="00AF3265">
        <w:t xml:space="preserve"> kamate, glavnice i kamate) osigurat će se u proračunima Grada Gospića u iznosima </w:t>
      </w:r>
      <w:proofErr w:type="spellStart"/>
      <w:r w:rsidRPr="00AF3265">
        <w:t>interkalarnih</w:t>
      </w:r>
      <w:proofErr w:type="spellEnd"/>
      <w:r w:rsidRPr="00AF3265">
        <w:t xml:space="preserve"> kamata,  godišnjih glavnica i kamata prema otplatnom planu, u razdoblju od 2023. godine do konačne otplate kredita.</w:t>
      </w:r>
    </w:p>
    <w:p w14:paraId="459E773A" w14:textId="77777777" w:rsidR="00665B0D" w:rsidRPr="00AF3265" w:rsidRDefault="00665B0D" w:rsidP="00665B0D">
      <w:pPr>
        <w:spacing w:line="276" w:lineRule="auto"/>
        <w:jc w:val="both"/>
      </w:pPr>
    </w:p>
    <w:p w14:paraId="6B50C3A9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t>Članak 4.</w:t>
      </w:r>
    </w:p>
    <w:p w14:paraId="146F1133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</w:p>
    <w:p w14:paraId="03F38D19" w14:textId="77777777" w:rsidR="00665B0D" w:rsidRPr="00AF3265" w:rsidRDefault="00665B0D" w:rsidP="00665B0D">
      <w:pPr>
        <w:spacing w:line="276" w:lineRule="auto"/>
        <w:ind w:firstLine="708"/>
        <w:jc w:val="both"/>
      </w:pPr>
      <w:bookmarkStart w:id="2" w:name="_Hlk65673489"/>
      <w:r w:rsidRPr="00AF3265">
        <w:t>Grad Gospić će s Hrvatskom bankom za obnovu i razvitak sklopiti ugovor o kreditu pod uvjetima iz članka 2. ove Odluke, po dobivenoj suglasnosti Ministarstva financija sukladno članku 122. Zakona o proračunu.</w:t>
      </w:r>
    </w:p>
    <w:p w14:paraId="3178BB12" w14:textId="77777777" w:rsidR="00665B0D" w:rsidRPr="00AF3265" w:rsidRDefault="00665B0D" w:rsidP="00665B0D">
      <w:pPr>
        <w:spacing w:line="276" w:lineRule="auto"/>
        <w:jc w:val="both"/>
      </w:pPr>
    </w:p>
    <w:bookmarkEnd w:id="2"/>
    <w:p w14:paraId="7FAD63D9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t>Članak 5.</w:t>
      </w:r>
    </w:p>
    <w:p w14:paraId="39DC7285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</w:p>
    <w:p w14:paraId="5922275D" w14:textId="77777777" w:rsidR="00665B0D" w:rsidRPr="00AF3265" w:rsidRDefault="00665B0D" w:rsidP="00665B0D">
      <w:pPr>
        <w:spacing w:line="276" w:lineRule="auto"/>
        <w:ind w:firstLine="708"/>
        <w:jc w:val="both"/>
      </w:pPr>
      <w:r w:rsidRPr="00AF3265">
        <w:t>Ovlašćuje se Gradonačelnik Grada Gospića za zaključivanje Ugovora o kreditu iz članka 4. ove Odluke.</w:t>
      </w:r>
    </w:p>
    <w:p w14:paraId="0E4D0CD4" w14:textId="77777777" w:rsidR="00665B0D" w:rsidRPr="00AF3265" w:rsidRDefault="00665B0D" w:rsidP="006D40C7">
      <w:pPr>
        <w:spacing w:line="276" w:lineRule="auto"/>
        <w:ind w:firstLine="708"/>
        <w:jc w:val="both"/>
      </w:pPr>
      <w:r w:rsidRPr="00AF3265">
        <w:t>Ovlašćuje se Gradonačelnik Grada Gospića za izdavanje zadužnice i mjenica.</w:t>
      </w:r>
    </w:p>
    <w:p w14:paraId="3CF1E606" w14:textId="77777777" w:rsidR="00665B0D" w:rsidRPr="00AF3265" w:rsidRDefault="00665B0D" w:rsidP="00665B0D">
      <w:pPr>
        <w:spacing w:line="276" w:lineRule="auto"/>
        <w:jc w:val="both"/>
      </w:pPr>
    </w:p>
    <w:p w14:paraId="2712592F" w14:textId="68EB2E5F" w:rsidR="00665B0D" w:rsidRPr="00AF3265" w:rsidRDefault="00665B0D" w:rsidP="00665B0D">
      <w:pPr>
        <w:spacing w:line="276" w:lineRule="auto"/>
        <w:jc w:val="center"/>
        <w:rPr>
          <w:b/>
          <w:bCs/>
        </w:rPr>
      </w:pPr>
      <w:r w:rsidRPr="00AF3265">
        <w:rPr>
          <w:b/>
          <w:bCs/>
        </w:rPr>
        <w:t xml:space="preserve">Članak </w:t>
      </w:r>
      <w:r w:rsidR="00DC5F03">
        <w:rPr>
          <w:b/>
          <w:bCs/>
        </w:rPr>
        <w:t>6</w:t>
      </w:r>
      <w:r w:rsidRPr="00AF3265">
        <w:rPr>
          <w:b/>
          <w:bCs/>
        </w:rPr>
        <w:t>.</w:t>
      </w:r>
    </w:p>
    <w:p w14:paraId="05F43439" w14:textId="77777777" w:rsidR="00665B0D" w:rsidRPr="00AF3265" w:rsidRDefault="00665B0D" w:rsidP="00665B0D">
      <w:pPr>
        <w:spacing w:line="276" w:lineRule="auto"/>
        <w:jc w:val="center"/>
        <w:rPr>
          <w:b/>
          <w:bCs/>
        </w:rPr>
      </w:pPr>
    </w:p>
    <w:p w14:paraId="04842183" w14:textId="77777777" w:rsidR="00665B0D" w:rsidRPr="00AF3265" w:rsidRDefault="00665B0D" w:rsidP="00100663">
      <w:pPr>
        <w:spacing w:line="276" w:lineRule="auto"/>
        <w:ind w:firstLine="708"/>
        <w:jc w:val="both"/>
      </w:pPr>
      <w:r w:rsidRPr="00AF3265">
        <w:t>Ova Odluka stupa na snagu osmog dana od dana objave u „Službenom vjesniku Grada Gospića“.</w:t>
      </w:r>
    </w:p>
    <w:p w14:paraId="6A84CCB1" w14:textId="77777777" w:rsidR="00665B0D" w:rsidRPr="00AF3265" w:rsidRDefault="00665B0D" w:rsidP="00665B0D">
      <w:pPr>
        <w:spacing w:line="276" w:lineRule="auto"/>
      </w:pPr>
    </w:p>
    <w:p w14:paraId="5445BC63" w14:textId="77777777" w:rsidR="00744186" w:rsidRPr="00C83EAF" w:rsidRDefault="00744186" w:rsidP="00744186">
      <w:r w:rsidRPr="00C83EAF">
        <w:t>KLASA: 403-02/23-01/1</w:t>
      </w:r>
    </w:p>
    <w:p w14:paraId="1258F3A4" w14:textId="77777777" w:rsidR="00744186" w:rsidRPr="00C83EAF" w:rsidRDefault="00744186" w:rsidP="00744186">
      <w:pPr>
        <w:pStyle w:val="Zaglavlje"/>
        <w:tabs>
          <w:tab w:val="left" w:pos="708"/>
        </w:tabs>
        <w:rPr>
          <w:sz w:val="22"/>
          <w:szCs w:val="22"/>
          <w:lang w:val="hr-HR"/>
        </w:rPr>
      </w:pPr>
      <w:r w:rsidRPr="00C83EAF">
        <w:rPr>
          <w:sz w:val="22"/>
          <w:szCs w:val="22"/>
          <w:lang w:val="hr-HR"/>
        </w:rPr>
        <w:t>URBROJ: 2125-1-0</w:t>
      </w:r>
      <w:r>
        <w:rPr>
          <w:sz w:val="22"/>
          <w:szCs w:val="22"/>
          <w:lang w:val="hr-HR"/>
        </w:rPr>
        <w:t>1</w:t>
      </w:r>
      <w:r w:rsidRPr="00C83EAF">
        <w:rPr>
          <w:sz w:val="22"/>
          <w:szCs w:val="22"/>
          <w:lang w:val="hr-HR"/>
        </w:rPr>
        <w:t>-23-0</w:t>
      </w:r>
      <w:r>
        <w:rPr>
          <w:sz w:val="22"/>
          <w:szCs w:val="22"/>
          <w:lang w:val="hr-HR"/>
        </w:rPr>
        <w:t>3</w:t>
      </w:r>
    </w:p>
    <w:p w14:paraId="79878D9A" w14:textId="77777777" w:rsidR="00744186" w:rsidRPr="00C83EAF" w:rsidRDefault="00744186" w:rsidP="00744186">
      <w:pPr>
        <w:pStyle w:val="Naslov2"/>
        <w:spacing w:before="0"/>
        <w:rPr>
          <w:rFonts w:ascii="Times New Roman" w:hAnsi="Times New Roman" w:cs="Times New Roman"/>
          <w:color w:val="auto"/>
          <w:sz w:val="22"/>
          <w:szCs w:val="22"/>
          <w:lang w:val="x-none"/>
        </w:rPr>
      </w:pPr>
      <w:r w:rsidRPr="00C83EAF">
        <w:rPr>
          <w:rFonts w:ascii="Times New Roman" w:hAnsi="Times New Roman" w:cs="Times New Roman"/>
          <w:color w:val="auto"/>
          <w:sz w:val="22"/>
          <w:szCs w:val="22"/>
        </w:rPr>
        <w:t xml:space="preserve">Gospić, </w:t>
      </w:r>
      <w:r>
        <w:rPr>
          <w:rFonts w:ascii="Times New Roman" w:hAnsi="Times New Roman" w:cs="Times New Roman"/>
          <w:color w:val="auto"/>
          <w:sz w:val="22"/>
          <w:szCs w:val="22"/>
        </w:rPr>
        <w:t>14. travnja</w:t>
      </w:r>
      <w:r w:rsidRPr="00C83EAF">
        <w:rPr>
          <w:rFonts w:ascii="Times New Roman" w:hAnsi="Times New Roman" w:cs="Times New Roman"/>
          <w:color w:val="auto"/>
          <w:sz w:val="22"/>
          <w:szCs w:val="22"/>
        </w:rPr>
        <w:t xml:space="preserve"> 2023. godine</w:t>
      </w:r>
    </w:p>
    <w:p w14:paraId="03AD8DD4" w14:textId="77777777" w:rsidR="00665B0D" w:rsidRPr="00AF3265" w:rsidRDefault="00665B0D" w:rsidP="00665B0D">
      <w:pPr>
        <w:spacing w:line="276" w:lineRule="auto"/>
      </w:pPr>
    </w:p>
    <w:p w14:paraId="3426A43B" w14:textId="0AD4E66C" w:rsidR="00665B0D" w:rsidRPr="00AF3265" w:rsidRDefault="00665B0D" w:rsidP="00665B0D">
      <w:pPr>
        <w:spacing w:line="276" w:lineRule="auto"/>
        <w:ind w:left="3540" w:firstLine="708"/>
      </w:pPr>
      <w:r w:rsidRPr="00AF3265">
        <w:t xml:space="preserve">  </w:t>
      </w:r>
      <w:r w:rsidR="00AF3265" w:rsidRPr="00AF3265">
        <w:t xml:space="preserve">             </w:t>
      </w:r>
      <w:r w:rsidR="008C1ADD">
        <w:t xml:space="preserve">   </w:t>
      </w:r>
      <w:r w:rsidRPr="00AF3265">
        <w:t xml:space="preserve"> PREDSJEDNICA GRADSKOG VIJEĆA</w:t>
      </w:r>
    </w:p>
    <w:p w14:paraId="49773756" w14:textId="4BD42936" w:rsidR="00665B0D" w:rsidRPr="00AF3265" w:rsidRDefault="00AF3265" w:rsidP="00665B0D">
      <w:pPr>
        <w:spacing w:line="276" w:lineRule="auto"/>
        <w:ind w:left="4944" w:firstLine="708"/>
      </w:pPr>
      <w:r w:rsidRPr="00AF3265">
        <w:t xml:space="preserve">     </w:t>
      </w:r>
      <w:r w:rsidR="008C1ADD">
        <w:t xml:space="preserve">  </w:t>
      </w:r>
      <w:r w:rsidRPr="00AF3265">
        <w:t xml:space="preserve"> </w:t>
      </w:r>
      <w:r w:rsidR="00D31273">
        <w:t xml:space="preserve">  </w:t>
      </w:r>
      <w:r w:rsidR="00665B0D" w:rsidRPr="00AF3265">
        <w:t>GRADA GOSPIĆA</w:t>
      </w:r>
    </w:p>
    <w:p w14:paraId="7D92B827" w14:textId="77777777" w:rsidR="00665B0D" w:rsidRPr="00AF3265" w:rsidRDefault="00665B0D" w:rsidP="00665B0D">
      <w:pPr>
        <w:spacing w:line="276" w:lineRule="auto"/>
        <w:ind w:left="5652" w:firstLine="720"/>
      </w:pPr>
    </w:p>
    <w:p w14:paraId="00AFAF2D" w14:textId="2E26F501" w:rsidR="00665B0D" w:rsidRDefault="00AF3265" w:rsidP="00665B0D">
      <w:pPr>
        <w:spacing w:line="276" w:lineRule="auto"/>
        <w:ind w:left="4236" w:firstLine="708"/>
      </w:pPr>
      <w:r w:rsidRPr="00AF3265">
        <w:t xml:space="preserve">      </w:t>
      </w:r>
      <w:r w:rsidR="008C1ADD">
        <w:t xml:space="preserve">    </w:t>
      </w:r>
      <w:r w:rsidR="00D31273">
        <w:t xml:space="preserve">  </w:t>
      </w:r>
      <w:r w:rsidRPr="00AF3265">
        <w:t xml:space="preserve"> </w:t>
      </w:r>
      <w:r w:rsidR="00665B0D" w:rsidRPr="00AF3265">
        <w:t xml:space="preserve">Ana Marija Zdunić, mag. </w:t>
      </w:r>
      <w:proofErr w:type="spellStart"/>
      <w:r w:rsidR="00665B0D" w:rsidRPr="00AF3265">
        <w:t>iur</w:t>
      </w:r>
      <w:proofErr w:type="spellEnd"/>
      <w:r w:rsidR="00665B0D" w:rsidRPr="00AF3265">
        <w:t>.</w:t>
      </w:r>
      <w:bookmarkEnd w:id="0"/>
      <w:r w:rsidR="00723FE8">
        <w:t>, v.r.</w:t>
      </w:r>
    </w:p>
    <w:p w14:paraId="706EC4E6" w14:textId="77777777" w:rsidR="008C1ADD" w:rsidRDefault="008C1ADD" w:rsidP="00665B0D">
      <w:pPr>
        <w:spacing w:line="276" w:lineRule="auto"/>
        <w:ind w:left="4236" w:firstLine="708"/>
      </w:pPr>
    </w:p>
    <w:p w14:paraId="50CC6280" w14:textId="77777777" w:rsidR="008C1ADD" w:rsidRDefault="008C1ADD" w:rsidP="00665B0D">
      <w:pPr>
        <w:spacing w:line="276" w:lineRule="auto"/>
        <w:ind w:left="4236" w:firstLine="708"/>
      </w:pPr>
    </w:p>
    <w:p w14:paraId="2C57B768" w14:textId="77777777" w:rsidR="008C1ADD" w:rsidRDefault="008C1ADD" w:rsidP="00665B0D">
      <w:pPr>
        <w:spacing w:line="276" w:lineRule="auto"/>
        <w:ind w:left="4236" w:firstLine="708"/>
      </w:pPr>
    </w:p>
    <w:p w14:paraId="442CBE23" w14:textId="77777777" w:rsidR="008C1ADD" w:rsidRDefault="008C1ADD" w:rsidP="00665B0D">
      <w:pPr>
        <w:spacing w:line="276" w:lineRule="auto"/>
        <w:ind w:left="4236" w:firstLine="708"/>
      </w:pPr>
    </w:p>
    <w:p w14:paraId="742182EF" w14:textId="77777777" w:rsidR="008C1ADD" w:rsidRDefault="008C1ADD" w:rsidP="00665B0D">
      <w:pPr>
        <w:spacing w:line="276" w:lineRule="auto"/>
        <w:ind w:left="4236" w:firstLine="708"/>
      </w:pPr>
    </w:p>
    <w:p w14:paraId="210260C8" w14:textId="77777777" w:rsidR="008C1ADD" w:rsidRDefault="008C1ADD" w:rsidP="00665B0D">
      <w:pPr>
        <w:spacing w:line="276" w:lineRule="auto"/>
        <w:ind w:left="4236" w:firstLine="708"/>
      </w:pPr>
    </w:p>
    <w:p w14:paraId="1DE2C2FA" w14:textId="77777777" w:rsidR="008C1ADD" w:rsidRDefault="008C1ADD" w:rsidP="00665B0D">
      <w:pPr>
        <w:spacing w:line="276" w:lineRule="auto"/>
        <w:ind w:left="4236" w:firstLine="708"/>
      </w:pPr>
    </w:p>
    <w:p w14:paraId="11DF4F16" w14:textId="77777777" w:rsidR="008C1ADD" w:rsidRDefault="008C1ADD" w:rsidP="00665B0D">
      <w:pPr>
        <w:spacing w:line="276" w:lineRule="auto"/>
        <w:ind w:left="4236" w:firstLine="708"/>
      </w:pPr>
    </w:p>
    <w:p w14:paraId="1076CB84" w14:textId="0215C62B" w:rsidR="00FA11C1" w:rsidRPr="00AF3265" w:rsidRDefault="00FA11C1" w:rsidP="00665B0D">
      <w:pPr>
        <w:ind w:firstLine="708"/>
        <w:jc w:val="both"/>
      </w:pPr>
    </w:p>
    <w:sectPr w:rsidR="00FA11C1" w:rsidRPr="00AF3265" w:rsidSect="00100663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0DE7" w14:textId="77777777" w:rsidR="00CB65C9" w:rsidRDefault="00CB65C9" w:rsidP="00100663">
      <w:r>
        <w:separator/>
      </w:r>
    </w:p>
  </w:endnote>
  <w:endnote w:type="continuationSeparator" w:id="0">
    <w:p w14:paraId="7BE51815" w14:textId="77777777" w:rsidR="00CB65C9" w:rsidRDefault="00CB65C9" w:rsidP="0010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561600"/>
      <w:docPartObj>
        <w:docPartGallery w:val="Page Numbers (Bottom of Page)"/>
        <w:docPartUnique/>
      </w:docPartObj>
    </w:sdtPr>
    <w:sdtContent>
      <w:p w14:paraId="29EC4278" w14:textId="5B889D19" w:rsidR="00100663" w:rsidRDefault="0010066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82959E" w14:textId="77777777" w:rsidR="00100663" w:rsidRDefault="001006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86D2" w14:textId="77777777" w:rsidR="00CB65C9" w:rsidRDefault="00CB65C9" w:rsidP="00100663">
      <w:r>
        <w:separator/>
      </w:r>
    </w:p>
  </w:footnote>
  <w:footnote w:type="continuationSeparator" w:id="0">
    <w:p w14:paraId="6C780F2F" w14:textId="77777777" w:rsidR="00CB65C9" w:rsidRDefault="00CB65C9" w:rsidP="0010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4C46"/>
    <w:multiLevelType w:val="hybridMultilevel"/>
    <w:tmpl w:val="C8948DE8"/>
    <w:lvl w:ilvl="0" w:tplc="91CE08A6">
      <w:start w:val="1"/>
      <w:numFmt w:val="decimal"/>
      <w:lvlText w:val="%1."/>
      <w:lvlJc w:val="left"/>
      <w:pPr>
        <w:ind w:left="123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C8A2946">
      <w:numFmt w:val="bullet"/>
      <w:lvlText w:val="•"/>
      <w:lvlJc w:val="left"/>
      <w:pPr>
        <w:ind w:left="2146" w:hanging="361"/>
      </w:pPr>
      <w:rPr>
        <w:rFonts w:hint="default"/>
        <w:lang w:val="hr-HR" w:eastAsia="en-US" w:bidi="ar-SA"/>
      </w:rPr>
    </w:lvl>
    <w:lvl w:ilvl="2" w:tplc="B61CE6BC">
      <w:numFmt w:val="bullet"/>
      <w:lvlText w:val="•"/>
      <w:lvlJc w:val="left"/>
      <w:pPr>
        <w:ind w:left="3053" w:hanging="361"/>
      </w:pPr>
      <w:rPr>
        <w:rFonts w:hint="default"/>
        <w:lang w:val="hr-HR" w:eastAsia="en-US" w:bidi="ar-SA"/>
      </w:rPr>
    </w:lvl>
    <w:lvl w:ilvl="3" w:tplc="42D67CDA">
      <w:numFmt w:val="bullet"/>
      <w:lvlText w:val="•"/>
      <w:lvlJc w:val="left"/>
      <w:pPr>
        <w:ind w:left="3960" w:hanging="361"/>
      </w:pPr>
      <w:rPr>
        <w:rFonts w:hint="default"/>
        <w:lang w:val="hr-HR" w:eastAsia="en-US" w:bidi="ar-SA"/>
      </w:rPr>
    </w:lvl>
    <w:lvl w:ilvl="4" w:tplc="1A080DF0">
      <w:numFmt w:val="bullet"/>
      <w:lvlText w:val="•"/>
      <w:lvlJc w:val="left"/>
      <w:pPr>
        <w:ind w:left="4867" w:hanging="361"/>
      </w:pPr>
      <w:rPr>
        <w:rFonts w:hint="default"/>
        <w:lang w:val="hr-HR" w:eastAsia="en-US" w:bidi="ar-SA"/>
      </w:rPr>
    </w:lvl>
    <w:lvl w:ilvl="5" w:tplc="0FF2F976">
      <w:numFmt w:val="bullet"/>
      <w:lvlText w:val="•"/>
      <w:lvlJc w:val="left"/>
      <w:pPr>
        <w:ind w:left="5774" w:hanging="361"/>
      </w:pPr>
      <w:rPr>
        <w:rFonts w:hint="default"/>
        <w:lang w:val="hr-HR" w:eastAsia="en-US" w:bidi="ar-SA"/>
      </w:rPr>
    </w:lvl>
    <w:lvl w:ilvl="6" w:tplc="B616EF1C">
      <w:numFmt w:val="bullet"/>
      <w:lvlText w:val="•"/>
      <w:lvlJc w:val="left"/>
      <w:pPr>
        <w:ind w:left="6680" w:hanging="361"/>
      </w:pPr>
      <w:rPr>
        <w:rFonts w:hint="default"/>
        <w:lang w:val="hr-HR" w:eastAsia="en-US" w:bidi="ar-SA"/>
      </w:rPr>
    </w:lvl>
    <w:lvl w:ilvl="7" w:tplc="9B2C7C20">
      <w:numFmt w:val="bullet"/>
      <w:lvlText w:val="•"/>
      <w:lvlJc w:val="left"/>
      <w:pPr>
        <w:ind w:left="7587" w:hanging="361"/>
      </w:pPr>
      <w:rPr>
        <w:rFonts w:hint="default"/>
        <w:lang w:val="hr-HR" w:eastAsia="en-US" w:bidi="ar-SA"/>
      </w:rPr>
    </w:lvl>
    <w:lvl w:ilvl="8" w:tplc="5B0C68F2">
      <w:numFmt w:val="bullet"/>
      <w:lvlText w:val="•"/>
      <w:lvlJc w:val="left"/>
      <w:pPr>
        <w:ind w:left="8494" w:hanging="361"/>
      </w:pPr>
      <w:rPr>
        <w:rFonts w:hint="default"/>
        <w:lang w:val="hr-HR" w:eastAsia="en-US" w:bidi="ar-SA"/>
      </w:rPr>
    </w:lvl>
  </w:abstractNum>
  <w:num w:numId="1" w16cid:durableId="194768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C1"/>
    <w:rsid w:val="00022416"/>
    <w:rsid w:val="000D6DD4"/>
    <w:rsid w:val="00100663"/>
    <w:rsid w:val="00293194"/>
    <w:rsid w:val="00296307"/>
    <w:rsid w:val="002C0023"/>
    <w:rsid w:val="003133ED"/>
    <w:rsid w:val="003158FC"/>
    <w:rsid w:val="00380162"/>
    <w:rsid w:val="00391CAE"/>
    <w:rsid w:val="0047267F"/>
    <w:rsid w:val="005C7598"/>
    <w:rsid w:val="00665B0D"/>
    <w:rsid w:val="006D40C7"/>
    <w:rsid w:val="00723FE8"/>
    <w:rsid w:val="00744186"/>
    <w:rsid w:val="008C1ADD"/>
    <w:rsid w:val="00A80FEC"/>
    <w:rsid w:val="00AF3265"/>
    <w:rsid w:val="00AF379D"/>
    <w:rsid w:val="00B805D6"/>
    <w:rsid w:val="00BA0329"/>
    <w:rsid w:val="00C47177"/>
    <w:rsid w:val="00C83EAF"/>
    <w:rsid w:val="00CB65C9"/>
    <w:rsid w:val="00D178D5"/>
    <w:rsid w:val="00D2037E"/>
    <w:rsid w:val="00D31273"/>
    <w:rsid w:val="00D650BD"/>
    <w:rsid w:val="00D93FE4"/>
    <w:rsid w:val="00D966D2"/>
    <w:rsid w:val="00DC5F03"/>
    <w:rsid w:val="00E12560"/>
    <w:rsid w:val="00E8177D"/>
    <w:rsid w:val="00E83868"/>
    <w:rsid w:val="00E91BC6"/>
    <w:rsid w:val="00FA11C1"/>
    <w:rsid w:val="00FA6674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55CB"/>
  <w15:docId w15:val="{45657AAA-E57D-4116-8D7D-144C924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3368" w:right="3575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83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1236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83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paragraph" w:styleId="Zaglavlje">
    <w:name w:val="header"/>
    <w:basedOn w:val="Normal"/>
    <w:link w:val="ZaglavljeChar"/>
    <w:rsid w:val="00C83EAF"/>
    <w:pPr>
      <w:widowControl/>
      <w:tabs>
        <w:tab w:val="center" w:pos="4536"/>
        <w:tab w:val="right" w:pos="9072"/>
      </w:tabs>
      <w:autoSpaceDE/>
      <w:autoSpaceDN/>
    </w:pPr>
    <w:rPr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C83EA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06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663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</cp:lastModifiedBy>
  <cp:revision>3</cp:revision>
  <cp:lastPrinted>2023-04-21T06:25:00Z</cp:lastPrinted>
  <dcterms:created xsi:type="dcterms:W3CDTF">2023-04-21T06:26:00Z</dcterms:created>
  <dcterms:modified xsi:type="dcterms:W3CDTF">2023-04-21T06:26:00Z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