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33" w:rsidRPr="00707D63" w:rsidRDefault="00310F33" w:rsidP="00707D63">
      <w:pPr>
        <w:pStyle w:val="NoSpacing"/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10F33" w:rsidRDefault="00310F33" w:rsidP="00707D63">
      <w:pPr>
        <w:pStyle w:val="NoSpacing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07D63"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707D63">
        <w:rPr>
          <w:rFonts w:asciiTheme="majorHAnsi" w:hAnsiTheme="majorHAnsi" w:cs="Times New Roman"/>
          <w:noProof/>
          <w:sz w:val="24"/>
          <w:szCs w:val="24"/>
          <w:lang w:val="en-US"/>
        </w:rPr>
        <w:drawing>
          <wp:inline distT="0" distB="0" distL="0" distR="0">
            <wp:extent cx="485775" cy="609600"/>
            <wp:effectExtent l="19050" t="0" r="9525" b="0"/>
            <wp:docPr id="1" name="Slika 1" descr="hr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 mal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952" w:rsidRPr="00707D63" w:rsidRDefault="00644952" w:rsidP="00707D63">
      <w:pPr>
        <w:pStyle w:val="NoSpacing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D13B59">
        <w:rPr>
          <w:rFonts w:asciiTheme="majorHAnsi" w:hAnsiTheme="majorHAnsi" w:cs="Times New Roman"/>
        </w:rPr>
        <w:t xml:space="preserve">REPUBLIKA HRVATSKA          </w:t>
      </w: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D13B59">
        <w:rPr>
          <w:rFonts w:asciiTheme="majorHAnsi" w:hAnsiTheme="majorHAnsi" w:cs="Times New Roman"/>
        </w:rPr>
        <w:t xml:space="preserve">LIČKO-SENJSKA ŽUPANIJA                       </w:t>
      </w: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D13B59">
        <w:rPr>
          <w:rFonts w:asciiTheme="majorHAnsi" w:hAnsiTheme="majorHAnsi" w:cs="Times New Roman"/>
        </w:rPr>
        <w:t>G R A D   G O S P I Ć</w:t>
      </w:r>
    </w:p>
    <w:p w:rsidR="00310F33" w:rsidRPr="00D13B59" w:rsidRDefault="00644952" w:rsidP="00707D63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D13B59">
        <w:rPr>
          <w:rFonts w:asciiTheme="majorHAnsi" w:hAnsiTheme="majorHAnsi" w:cs="Times New Roman"/>
        </w:rPr>
        <w:t>GRADONAČELNIK</w:t>
      </w: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D13B59">
        <w:rPr>
          <w:rFonts w:asciiTheme="majorHAnsi" w:hAnsiTheme="majorHAnsi" w:cs="Times New Roman"/>
        </w:rPr>
        <w:t xml:space="preserve">KLASA: </w:t>
      </w:r>
      <w:r w:rsidR="00A378A0" w:rsidRPr="00D13B59">
        <w:rPr>
          <w:rFonts w:asciiTheme="majorHAnsi" w:hAnsiTheme="majorHAnsi" w:cs="Times New Roman"/>
        </w:rPr>
        <w:t>601-01/23-01/4</w:t>
      </w: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D13B59">
        <w:rPr>
          <w:rFonts w:asciiTheme="majorHAnsi" w:hAnsiTheme="majorHAnsi" w:cs="Times New Roman"/>
        </w:rPr>
        <w:t xml:space="preserve">URBROJ: </w:t>
      </w:r>
      <w:r w:rsidR="00A378A0" w:rsidRPr="00D13B59">
        <w:rPr>
          <w:rFonts w:asciiTheme="majorHAnsi" w:hAnsiTheme="majorHAnsi" w:cs="Times New Roman"/>
        </w:rPr>
        <w:t>2125-1-0</w:t>
      </w:r>
      <w:r w:rsidR="00644952" w:rsidRPr="00D13B59">
        <w:rPr>
          <w:rFonts w:asciiTheme="majorHAnsi" w:hAnsiTheme="majorHAnsi" w:cs="Times New Roman"/>
        </w:rPr>
        <w:t>2</w:t>
      </w:r>
      <w:r w:rsidR="00A378A0" w:rsidRPr="00D13B59">
        <w:rPr>
          <w:rFonts w:asciiTheme="majorHAnsi" w:hAnsiTheme="majorHAnsi" w:cs="Times New Roman"/>
        </w:rPr>
        <w:t>-23-0</w:t>
      </w:r>
      <w:r w:rsidR="00644952" w:rsidRPr="00D13B59">
        <w:rPr>
          <w:rFonts w:asciiTheme="majorHAnsi" w:hAnsiTheme="majorHAnsi" w:cs="Times New Roman"/>
        </w:rPr>
        <w:t>2</w:t>
      </w: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D13B59">
        <w:rPr>
          <w:rFonts w:asciiTheme="majorHAnsi" w:hAnsiTheme="majorHAnsi" w:cs="Times New Roman"/>
        </w:rPr>
        <w:t xml:space="preserve">Gospić, </w:t>
      </w:r>
      <w:r w:rsidR="00644952" w:rsidRPr="00D13B59">
        <w:rPr>
          <w:rFonts w:asciiTheme="majorHAnsi" w:hAnsiTheme="majorHAnsi" w:cs="Times New Roman"/>
        </w:rPr>
        <w:t>25</w:t>
      </w:r>
      <w:r w:rsidR="00A378A0" w:rsidRPr="00D13B59">
        <w:rPr>
          <w:rFonts w:asciiTheme="majorHAnsi" w:hAnsiTheme="majorHAnsi" w:cs="Times New Roman"/>
        </w:rPr>
        <w:t xml:space="preserve">. svibnja 2023. godine </w:t>
      </w:r>
    </w:p>
    <w:p w:rsidR="00310F33" w:rsidRPr="00D13B59" w:rsidRDefault="00310F33" w:rsidP="00707D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10F33" w:rsidRPr="00D13B59" w:rsidRDefault="00310F33" w:rsidP="00707D63">
      <w:pPr>
        <w:spacing w:line="276" w:lineRule="auto"/>
        <w:jc w:val="both"/>
        <w:rPr>
          <w:rFonts w:asciiTheme="majorHAnsi" w:hAnsiTheme="majorHAnsi" w:cs="Tahoma"/>
          <w:bCs/>
          <w:sz w:val="22"/>
          <w:szCs w:val="22"/>
        </w:rPr>
      </w:pPr>
    </w:p>
    <w:p w:rsidR="00310F33" w:rsidRPr="00D13B59" w:rsidRDefault="00644952" w:rsidP="003C1C37">
      <w:pPr>
        <w:spacing w:line="276" w:lineRule="auto"/>
        <w:jc w:val="right"/>
        <w:rPr>
          <w:rFonts w:asciiTheme="majorHAnsi" w:hAnsiTheme="majorHAnsi" w:cs="Tahoma"/>
          <w:b/>
          <w:bCs/>
          <w:sz w:val="22"/>
          <w:szCs w:val="22"/>
        </w:rPr>
      </w:pPr>
      <w:r w:rsidRPr="00D13B59">
        <w:rPr>
          <w:rFonts w:asciiTheme="majorHAnsi" w:hAnsiTheme="majorHAnsi" w:cs="Tahoma"/>
          <w:b/>
          <w:bCs/>
          <w:sz w:val="22"/>
          <w:szCs w:val="22"/>
        </w:rPr>
        <w:t>GRADSKO VIJEĆE GRADA GOSPIĆA</w:t>
      </w:r>
    </w:p>
    <w:p w:rsidR="00310F33" w:rsidRPr="00D13B59" w:rsidRDefault="00310F33" w:rsidP="00707D63">
      <w:pPr>
        <w:spacing w:line="276" w:lineRule="auto"/>
        <w:jc w:val="both"/>
        <w:rPr>
          <w:rFonts w:asciiTheme="majorHAnsi" w:hAnsiTheme="majorHAnsi" w:cs="Tahoma"/>
          <w:bCs/>
          <w:sz w:val="22"/>
          <w:szCs w:val="22"/>
        </w:rPr>
      </w:pPr>
      <w:r w:rsidRPr="00D13B59">
        <w:rPr>
          <w:rFonts w:asciiTheme="majorHAnsi" w:hAnsiTheme="majorHAnsi" w:cs="Tahoma"/>
          <w:bCs/>
          <w:sz w:val="22"/>
          <w:szCs w:val="22"/>
        </w:rPr>
        <w:tab/>
      </w:r>
      <w:r w:rsidRPr="00D13B59">
        <w:rPr>
          <w:rFonts w:asciiTheme="majorHAnsi" w:hAnsiTheme="majorHAnsi" w:cs="Tahoma"/>
          <w:bCs/>
          <w:sz w:val="22"/>
          <w:szCs w:val="22"/>
        </w:rPr>
        <w:tab/>
      </w:r>
      <w:r w:rsidRPr="00D13B59">
        <w:rPr>
          <w:rFonts w:asciiTheme="majorHAnsi" w:hAnsiTheme="majorHAnsi" w:cs="Tahoma"/>
          <w:bCs/>
          <w:sz w:val="22"/>
          <w:szCs w:val="22"/>
        </w:rPr>
        <w:tab/>
      </w:r>
      <w:r w:rsidRPr="00D13B59">
        <w:rPr>
          <w:rFonts w:asciiTheme="majorHAnsi" w:hAnsiTheme="majorHAnsi" w:cs="Tahoma"/>
          <w:bCs/>
          <w:sz w:val="22"/>
          <w:szCs w:val="22"/>
        </w:rPr>
        <w:tab/>
      </w:r>
      <w:r w:rsidRPr="00D13B59">
        <w:rPr>
          <w:rFonts w:asciiTheme="majorHAnsi" w:hAnsiTheme="majorHAnsi" w:cs="Tahoma"/>
          <w:bCs/>
          <w:sz w:val="22"/>
          <w:szCs w:val="22"/>
        </w:rPr>
        <w:tab/>
      </w:r>
      <w:r w:rsidRPr="00D13B59">
        <w:rPr>
          <w:rFonts w:asciiTheme="majorHAnsi" w:hAnsiTheme="majorHAnsi" w:cs="Tahoma"/>
          <w:bCs/>
          <w:sz w:val="22"/>
          <w:szCs w:val="22"/>
        </w:rPr>
        <w:tab/>
      </w:r>
      <w:r w:rsidRPr="00D13B59">
        <w:rPr>
          <w:rFonts w:asciiTheme="majorHAnsi" w:hAnsiTheme="majorHAnsi" w:cs="Tahoma"/>
          <w:bCs/>
          <w:sz w:val="22"/>
          <w:szCs w:val="22"/>
        </w:rPr>
        <w:tab/>
      </w:r>
    </w:p>
    <w:p w:rsidR="00644952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 w:cs="Times New Roman"/>
          <w:b/>
        </w:rPr>
      </w:pPr>
      <w:r w:rsidRPr="00D13B59">
        <w:rPr>
          <w:rFonts w:asciiTheme="majorHAnsi" w:hAnsiTheme="majorHAnsi"/>
          <w:b/>
        </w:rPr>
        <w:t xml:space="preserve">Predmet: Prijedlog Odluke </w:t>
      </w:r>
      <w:r w:rsidRPr="00D13B59">
        <w:rPr>
          <w:rFonts w:asciiTheme="majorHAnsi" w:hAnsiTheme="majorHAnsi" w:cs="Times New Roman"/>
          <w:b/>
        </w:rPr>
        <w:t xml:space="preserve">o </w:t>
      </w:r>
      <w:r w:rsidR="00707D63" w:rsidRPr="00D13B59">
        <w:rPr>
          <w:rFonts w:asciiTheme="majorHAnsi" w:hAnsiTheme="majorHAnsi" w:cs="Times New Roman"/>
          <w:b/>
        </w:rPr>
        <w:t xml:space="preserve">načinu ostvarivanja prednosti pri upisu djece u </w:t>
      </w:r>
    </w:p>
    <w:p w:rsidR="00644952" w:rsidRPr="00D13B59" w:rsidRDefault="00644952" w:rsidP="00707D63">
      <w:pPr>
        <w:pStyle w:val="NoSpacing"/>
        <w:spacing w:line="276" w:lineRule="auto"/>
        <w:jc w:val="both"/>
        <w:rPr>
          <w:rFonts w:asciiTheme="majorHAnsi" w:hAnsiTheme="majorHAnsi" w:cs="Times New Roman"/>
          <w:b/>
        </w:rPr>
      </w:pPr>
      <w:r w:rsidRPr="00D13B59">
        <w:rPr>
          <w:rFonts w:asciiTheme="majorHAnsi" w:hAnsiTheme="majorHAnsi" w:cs="Times New Roman"/>
          <w:b/>
        </w:rPr>
        <w:t xml:space="preserve">                    </w:t>
      </w:r>
      <w:r w:rsidR="00707D63" w:rsidRPr="00D13B59">
        <w:rPr>
          <w:rFonts w:asciiTheme="majorHAnsi" w:hAnsiTheme="majorHAnsi" w:cs="Times New Roman"/>
          <w:b/>
        </w:rPr>
        <w:t xml:space="preserve">Dječji </w:t>
      </w:r>
      <w:r w:rsidRPr="00D13B59">
        <w:rPr>
          <w:rFonts w:asciiTheme="majorHAnsi" w:hAnsiTheme="majorHAnsi" w:cs="Times New Roman"/>
          <w:b/>
        </w:rPr>
        <w:t>vrtić Pahuljica</w:t>
      </w:r>
    </w:p>
    <w:p w:rsidR="00707D63" w:rsidRPr="00D13B59" w:rsidRDefault="00644952" w:rsidP="00707D63">
      <w:pPr>
        <w:pStyle w:val="NoSpacing"/>
        <w:spacing w:line="276" w:lineRule="auto"/>
        <w:jc w:val="both"/>
        <w:rPr>
          <w:rFonts w:asciiTheme="majorHAnsi" w:hAnsiTheme="majorHAnsi" w:cs="Times New Roman"/>
          <w:b/>
        </w:rPr>
      </w:pPr>
      <w:r w:rsidRPr="00D13B59">
        <w:rPr>
          <w:rFonts w:asciiTheme="majorHAnsi" w:hAnsiTheme="majorHAnsi" w:cs="Times New Roman"/>
          <w:b/>
        </w:rPr>
        <w:t xml:space="preserve">            </w:t>
      </w:r>
      <w:r w:rsidR="00D13B59" w:rsidRPr="00D13B59">
        <w:rPr>
          <w:rFonts w:asciiTheme="majorHAnsi" w:hAnsiTheme="majorHAnsi" w:cs="Times New Roman"/>
          <w:b/>
        </w:rPr>
        <w:tab/>
        <w:t xml:space="preserve">       - na razmatranje i donošenje </w:t>
      </w:r>
      <w:r w:rsidR="00761CEB">
        <w:rPr>
          <w:rFonts w:asciiTheme="majorHAnsi" w:hAnsiTheme="majorHAnsi" w:cs="Times New Roman"/>
          <w:b/>
        </w:rPr>
        <w:t>–</w:t>
      </w:r>
      <w:r w:rsidR="00D13B59" w:rsidRPr="00D13B59">
        <w:rPr>
          <w:rFonts w:asciiTheme="majorHAnsi" w:hAnsiTheme="majorHAnsi" w:cs="Times New Roman"/>
          <w:b/>
        </w:rPr>
        <w:t xml:space="preserve"> </w:t>
      </w:r>
      <w:r w:rsidR="00761CEB">
        <w:rPr>
          <w:rFonts w:asciiTheme="majorHAnsi" w:hAnsiTheme="majorHAnsi" w:cs="Times New Roman"/>
          <w:b/>
        </w:rPr>
        <w:t xml:space="preserve">dostavlja se - </w:t>
      </w: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310F33" w:rsidRPr="00D13B59" w:rsidRDefault="00310F33" w:rsidP="00D13B59">
      <w:pPr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D13B59">
        <w:rPr>
          <w:rFonts w:asciiTheme="majorHAnsi" w:hAnsiTheme="majorHAnsi"/>
          <w:sz w:val="22"/>
          <w:szCs w:val="22"/>
        </w:rPr>
        <w:t xml:space="preserve">Na temelju članka </w:t>
      </w:r>
      <w:r w:rsidR="00D13B59" w:rsidRPr="00D13B59">
        <w:rPr>
          <w:rFonts w:asciiTheme="majorHAnsi" w:hAnsiTheme="majorHAnsi"/>
          <w:sz w:val="22"/>
          <w:szCs w:val="22"/>
        </w:rPr>
        <w:t>49</w:t>
      </w:r>
      <w:r w:rsidRPr="00D13B59">
        <w:rPr>
          <w:rFonts w:asciiTheme="majorHAnsi" w:hAnsiTheme="majorHAnsi"/>
          <w:sz w:val="22"/>
          <w:szCs w:val="22"/>
        </w:rPr>
        <w:t>. Statuta Grada Gospića („Službeni vjesnik Grada Gospića“  br. 7/09, 5/10, 7/10, 1/12, 2/13, 3/13</w:t>
      </w:r>
      <w:r w:rsidR="00D13B59" w:rsidRPr="00D13B59">
        <w:rPr>
          <w:rFonts w:asciiTheme="majorHAnsi" w:hAnsiTheme="majorHAnsi"/>
          <w:sz w:val="22"/>
          <w:szCs w:val="22"/>
        </w:rPr>
        <w:t xml:space="preserve"> – p.t.</w:t>
      </w:r>
      <w:r w:rsidRPr="00D13B59">
        <w:rPr>
          <w:rFonts w:asciiTheme="majorHAnsi" w:hAnsiTheme="majorHAnsi"/>
          <w:sz w:val="22"/>
          <w:szCs w:val="22"/>
        </w:rPr>
        <w:t xml:space="preserve">, 7/15, 1/18, 3/20, 1/21) dostavljam Vam </w:t>
      </w:r>
      <w:r w:rsidRPr="00D13B59">
        <w:rPr>
          <w:rFonts w:asciiTheme="majorHAnsi" w:hAnsiTheme="majorHAnsi" w:cs="Calibri"/>
          <w:i/>
          <w:iCs/>
          <w:sz w:val="22"/>
          <w:szCs w:val="22"/>
          <w:lang w:val="pt-BR"/>
        </w:rPr>
        <w:t xml:space="preserve">prijedlog Odluke o </w:t>
      </w:r>
      <w:r w:rsidR="00897CF4" w:rsidRPr="00D13B59">
        <w:rPr>
          <w:rFonts w:asciiTheme="majorHAnsi" w:hAnsiTheme="majorHAnsi" w:cs="Calibri"/>
          <w:i/>
          <w:iCs/>
          <w:sz w:val="22"/>
          <w:szCs w:val="22"/>
          <w:lang w:val="pt-BR"/>
        </w:rPr>
        <w:t xml:space="preserve">načinu ostvarivanja prednosti pri upisu djece u Dječji vrtić Pahuljica </w:t>
      </w:r>
      <w:r w:rsidRPr="00D13B59">
        <w:rPr>
          <w:rFonts w:asciiTheme="majorHAnsi" w:hAnsiTheme="majorHAnsi" w:cs="Calibri"/>
          <w:sz w:val="22"/>
          <w:szCs w:val="22"/>
          <w:lang w:val="pt-BR"/>
        </w:rPr>
        <w:t xml:space="preserve">na </w:t>
      </w:r>
      <w:r w:rsidR="00D13B59" w:rsidRPr="00D13B59">
        <w:rPr>
          <w:rFonts w:asciiTheme="majorHAnsi" w:hAnsiTheme="majorHAnsi" w:cs="Calibri"/>
          <w:sz w:val="22"/>
          <w:szCs w:val="22"/>
          <w:lang w:val="pt-BR"/>
        </w:rPr>
        <w:t>razmatranje i donošenje.</w:t>
      </w: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/>
          <w:i/>
          <w:u w:val="single"/>
        </w:rPr>
      </w:pP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/>
          <w:i/>
          <w:u w:val="single"/>
        </w:rPr>
      </w:pPr>
      <w:r w:rsidRPr="00D13B59">
        <w:rPr>
          <w:rFonts w:asciiTheme="majorHAnsi" w:hAnsiTheme="majorHAnsi"/>
          <w:i/>
          <w:u w:val="single"/>
        </w:rPr>
        <w:t xml:space="preserve">Pravna osnova </w:t>
      </w: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/>
          <w:i/>
          <w:u w:val="single"/>
        </w:rPr>
      </w:pPr>
    </w:p>
    <w:p w:rsidR="00310F33" w:rsidRPr="00D13B59" w:rsidRDefault="00897CF4" w:rsidP="00707D6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D13B59">
        <w:rPr>
          <w:rFonts w:asciiTheme="majorHAnsi" w:hAnsiTheme="majorHAnsi"/>
          <w:color w:val="auto"/>
          <w:sz w:val="22"/>
          <w:szCs w:val="22"/>
        </w:rPr>
        <w:t>članak 20.</w:t>
      </w:r>
      <w:r w:rsidR="00310F33" w:rsidRPr="00D13B59">
        <w:rPr>
          <w:rFonts w:asciiTheme="majorHAnsi" w:hAnsiTheme="majorHAnsi"/>
          <w:color w:val="auto"/>
          <w:sz w:val="22"/>
          <w:szCs w:val="22"/>
        </w:rPr>
        <w:t xml:space="preserve"> Zakona o predškolskom odgoju i obrazovanju („Narodne Novine“br. </w:t>
      </w:r>
      <w:r w:rsidR="0004548E" w:rsidRPr="00D13B59">
        <w:rPr>
          <w:rFonts w:asciiTheme="majorHAnsi" w:hAnsiTheme="majorHAnsi"/>
          <w:color w:val="auto"/>
          <w:sz w:val="22"/>
          <w:szCs w:val="22"/>
        </w:rPr>
        <w:t>10/97, 107/07, 94/13, 98/19, 5/22</w:t>
      </w:r>
      <w:r w:rsidR="00310F33" w:rsidRPr="00D13B59">
        <w:rPr>
          <w:rFonts w:asciiTheme="majorHAnsi" w:hAnsiTheme="majorHAnsi"/>
          <w:color w:val="auto"/>
          <w:sz w:val="22"/>
          <w:szCs w:val="22"/>
        </w:rPr>
        <w:t xml:space="preserve">) </w:t>
      </w:r>
    </w:p>
    <w:p w:rsidR="00310F33" w:rsidRPr="00D13B59" w:rsidRDefault="00310F33" w:rsidP="00707D6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D13B59">
        <w:rPr>
          <w:rFonts w:asciiTheme="majorHAnsi" w:hAnsiTheme="majorHAnsi"/>
          <w:color w:val="auto"/>
          <w:sz w:val="22"/>
          <w:szCs w:val="22"/>
        </w:rPr>
        <w:t>članak 33. Statuta Grada Gospića („Službeni vjesnik Grada Gospića“ br. 7/09, 5/10, 7/10, 1/12, 2/13, 3/13, 7/15, 1/18, 3/20, 1/21)</w:t>
      </w: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/>
          <w:i/>
          <w:u w:val="single"/>
        </w:rPr>
      </w:pP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/>
          <w:i/>
          <w:u w:val="single"/>
        </w:rPr>
      </w:pPr>
      <w:r w:rsidRPr="00D13B59">
        <w:rPr>
          <w:rFonts w:asciiTheme="majorHAnsi" w:hAnsiTheme="majorHAnsi"/>
          <w:i/>
          <w:u w:val="single"/>
        </w:rPr>
        <w:t>Razlozi za donošenje akta</w:t>
      </w:r>
    </w:p>
    <w:p w:rsidR="005F3773" w:rsidRPr="00D13B59" w:rsidRDefault="005F3773" w:rsidP="00707D63">
      <w:pPr>
        <w:pStyle w:val="NoSpacing"/>
        <w:spacing w:line="276" w:lineRule="auto"/>
        <w:jc w:val="both"/>
        <w:rPr>
          <w:rFonts w:asciiTheme="majorHAnsi" w:hAnsiTheme="majorHAnsi"/>
          <w:i/>
          <w:u w:val="single"/>
        </w:rPr>
      </w:pPr>
    </w:p>
    <w:p w:rsidR="00707D63" w:rsidRPr="00D13B59" w:rsidRDefault="00707D63" w:rsidP="00D13B59">
      <w:pPr>
        <w:spacing w:line="276" w:lineRule="auto"/>
        <w:ind w:firstLine="708"/>
        <w:jc w:val="both"/>
        <w:rPr>
          <w:rFonts w:asciiTheme="majorHAnsi" w:hAnsiTheme="majorHAnsi"/>
          <w:color w:val="auto"/>
          <w:sz w:val="22"/>
          <w:szCs w:val="22"/>
        </w:rPr>
      </w:pPr>
      <w:r w:rsidRPr="00D13B59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 xml:space="preserve">Člankom 20. </w:t>
      </w:r>
      <w:r w:rsidRPr="00D13B59">
        <w:rPr>
          <w:rFonts w:asciiTheme="majorHAnsi" w:hAnsiTheme="majorHAnsi"/>
          <w:color w:val="auto"/>
          <w:sz w:val="22"/>
          <w:szCs w:val="22"/>
        </w:rPr>
        <w:t>Zakona o predškolskom odgoju i obrazovanju („Narodne Novine“br. 10/97, 107/07, 94/13, 98/1</w:t>
      </w:r>
      <w:r w:rsidR="0004548E" w:rsidRPr="00D13B59">
        <w:rPr>
          <w:rFonts w:asciiTheme="majorHAnsi" w:hAnsiTheme="majorHAnsi"/>
          <w:color w:val="auto"/>
          <w:sz w:val="22"/>
          <w:szCs w:val="22"/>
        </w:rPr>
        <w:t xml:space="preserve">9, </w:t>
      </w:r>
      <w:r w:rsidR="006C0A57" w:rsidRPr="00D13B59">
        <w:rPr>
          <w:rFonts w:asciiTheme="majorHAnsi" w:hAnsiTheme="majorHAnsi"/>
          <w:color w:val="auto"/>
          <w:sz w:val="22"/>
          <w:szCs w:val="22"/>
        </w:rPr>
        <w:t>5/22</w:t>
      </w:r>
      <w:r w:rsidRPr="00D13B59">
        <w:rPr>
          <w:rFonts w:asciiTheme="majorHAnsi" w:hAnsiTheme="majorHAnsi"/>
          <w:color w:val="auto"/>
          <w:sz w:val="22"/>
          <w:szCs w:val="22"/>
        </w:rPr>
        <w:t xml:space="preserve">) </w:t>
      </w:r>
      <w:r w:rsidR="006C0A57" w:rsidRPr="00D13B59">
        <w:rPr>
          <w:rFonts w:asciiTheme="majorHAnsi" w:hAnsiTheme="majorHAnsi"/>
          <w:color w:val="auto"/>
          <w:sz w:val="22"/>
          <w:szCs w:val="22"/>
        </w:rPr>
        <w:t>propisano je da</w:t>
      </w:r>
      <w:r w:rsidR="006C0A57" w:rsidRPr="00D13B59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 xml:space="preserve"> s</w:t>
      </w:r>
      <w:r w:rsidRPr="00D13B59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vako dijete rane i predškolske dobi ima pravo upisa u dječji vrtić ili školsku ustanovu u kojoj se izvodi rani i predškolski odgoj i obrazovanje</w:t>
      </w:r>
      <w:r w:rsidR="006C0A57" w:rsidRPr="00D13B59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 xml:space="preserve">, a da pri upisu u dječji vrtić </w:t>
      </w:r>
      <w:r w:rsidRPr="00D13B59">
        <w:rPr>
          <w:rFonts w:asciiTheme="majorHAnsi" w:hAnsiTheme="majorHAnsi"/>
          <w:color w:val="auto"/>
          <w:sz w:val="22"/>
          <w:szCs w:val="22"/>
        </w:rPr>
        <w:t xml:space="preserve">kojem je osnivač jedinica lokalne ili područne (regionalne) samouprave za iduću pedagošku godinu </w:t>
      </w:r>
      <w:r w:rsidR="006C0A57" w:rsidRPr="00D13B59">
        <w:rPr>
          <w:rFonts w:asciiTheme="majorHAnsi" w:hAnsiTheme="majorHAnsi"/>
          <w:color w:val="auto"/>
          <w:sz w:val="22"/>
          <w:szCs w:val="22"/>
        </w:rPr>
        <w:t xml:space="preserve">prednost ostvaruju </w:t>
      </w:r>
      <w:r w:rsidRPr="00D13B59">
        <w:rPr>
          <w:rFonts w:asciiTheme="majorHAnsi" w:hAnsiTheme="majorHAnsi"/>
          <w:color w:val="auto"/>
          <w:sz w:val="22"/>
          <w:szCs w:val="22"/>
        </w:rPr>
        <w:t>djeca koja do 1. travnja tekuće godine navrše četiri godine života.</w:t>
      </w:r>
    </w:p>
    <w:p w:rsidR="006C0A57" w:rsidRPr="00D13B59" w:rsidRDefault="006C0A57" w:rsidP="00D13B59">
      <w:pPr>
        <w:spacing w:line="276" w:lineRule="auto"/>
        <w:ind w:firstLine="708"/>
        <w:jc w:val="both"/>
        <w:rPr>
          <w:rFonts w:asciiTheme="majorHAnsi" w:hAnsiTheme="majorHAnsi"/>
          <w:color w:val="auto"/>
          <w:sz w:val="22"/>
          <w:szCs w:val="22"/>
        </w:rPr>
      </w:pPr>
      <w:r w:rsidRPr="00D13B59">
        <w:rPr>
          <w:rFonts w:asciiTheme="majorHAnsi" w:hAnsiTheme="majorHAnsi"/>
          <w:color w:val="auto"/>
          <w:sz w:val="22"/>
          <w:szCs w:val="22"/>
        </w:rPr>
        <w:t xml:space="preserve">Također je propisano da, ukoliko </w:t>
      </w:r>
      <w:r w:rsidR="00707D63" w:rsidRPr="00D13B59">
        <w:rPr>
          <w:rFonts w:asciiTheme="majorHAnsi" w:hAnsiTheme="majorHAnsi"/>
          <w:color w:val="auto"/>
          <w:sz w:val="22"/>
          <w:szCs w:val="22"/>
        </w:rPr>
        <w:t>dječji vrtić kojem je osnivač jedinica lokalne ili područne (regionalne) samouprave ne može upisati svu prijavljen</w:t>
      </w:r>
      <w:r w:rsidRPr="00D13B59">
        <w:rPr>
          <w:rFonts w:asciiTheme="majorHAnsi" w:hAnsiTheme="majorHAnsi"/>
          <w:color w:val="auto"/>
          <w:sz w:val="22"/>
          <w:szCs w:val="22"/>
        </w:rPr>
        <w:t xml:space="preserve">u djecu, nakon upisa djece koja do 1. travnja tekuće godine navrše četiri godine života, ostala </w:t>
      </w:r>
      <w:r w:rsidR="00707D63" w:rsidRPr="00D13B59">
        <w:rPr>
          <w:rFonts w:asciiTheme="majorHAnsi" w:hAnsiTheme="majorHAnsi"/>
          <w:color w:val="auto"/>
          <w:sz w:val="22"/>
          <w:szCs w:val="22"/>
        </w:rPr>
        <w:t xml:space="preserve">djeca se upisuju na način da prednost pri upisu imaju djeca roditelja invalida Domovinskog rata, djeca iz obitelji s troje ili više djece, djeca oba zaposlena roditelja,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</w:t>
      </w:r>
      <w:r w:rsidR="00707D63" w:rsidRPr="00D13B59">
        <w:rPr>
          <w:rFonts w:asciiTheme="majorHAnsi" w:hAnsiTheme="majorHAnsi"/>
          <w:color w:val="auto"/>
          <w:sz w:val="22"/>
          <w:szCs w:val="22"/>
        </w:rPr>
        <w:lastRenderedPageBreak/>
        <w:t>vještačenja, djeca samohranih roditelja, djeca jednoroditeljskih obitelji, djeca osoba s invaliditetom upisanih u Hrvatski registar osoba s invaliditetom, djeca koja su ostvarila pravo na socijalnu uslugu smještaja u udomiteljskim obiteljima, djeca koja imaju prebivalište ili boravište na području dječjeg vrtića te djeca roditelja koji primaju doplatak za djecu ili roditelja korisnika zajamčene minimalne naknade.</w:t>
      </w:r>
    </w:p>
    <w:p w:rsidR="00707D63" w:rsidRPr="00D13B59" w:rsidRDefault="00707D63" w:rsidP="00D13B59">
      <w:pPr>
        <w:spacing w:line="276" w:lineRule="auto"/>
        <w:ind w:firstLine="708"/>
        <w:jc w:val="both"/>
        <w:rPr>
          <w:rFonts w:asciiTheme="majorHAnsi" w:hAnsiTheme="majorHAnsi"/>
          <w:color w:val="auto"/>
          <w:sz w:val="22"/>
          <w:szCs w:val="22"/>
        </w:rPr>
      </w:pPr>
      <w:r w:rsidRPr="00D13B59">
        <w:rPr>
          <w:rFonts w:asciiTheme="majorHAnsi" w:hAnsiTheme="majorHAnsi"/>
          <w:color w:val="auto"/>
          <w:sz w:val="22"/>
          <w:szCs w:val="22"/>
        </w:rPr>
        <w:t>Način ostvarivanja</w:t>
      </w:r>
      <w:r w:rsidR="006C0A57" w:rsidRPr="00D13B59">
        <w:rPr>
          <w:rFonts w:asciiTheme="majorHAnsi" w:hAnsiTheme="majorHAnsi"/>
          <w:color w:val="auto"/>
          <w:sz w:val="22"/>
          <w:szCs w:val="22"/>
        </w:rPr>
        <w:t xml:space="preserve"> navedenih </w:t>
      </w:r>
      <w:r w:rsidRPr="00D13B59">
        <w:rPr>
          <w:rFonts w:asciiTheme="majorHAnsi" w:hAnsiTheme="majorHAnsi"/>
          <w:color w:val="auto"/>
          <w:sz w:val="22"/>
          <w:szCs w:val="22"/>
        </w:rPr>
        <w:t>prednosti pri upisu djece u dječji vrtić</w:t>
      </w:r>
      <w:r w:rsidR="005F3773" w:rsidRPr="00D13B59">
        <w:rPr>
          <w:rFonts w:asciiTheme="majorHAnsi" w:hAnsiTheme="majorHAnsi"/>
          <w:color w:val="auto"/>
          <w:sz w:val="22"/>
          <w:szCs w:val="22"/>
        </w:rPr>
        <w:t>, sukladno odredbama Z</w:t>
      </w:r>
      <w:r w:rsidR="006C0A57" w:rsidRPr="00D13B59">
        <w:rPr>
          <w:rFonts w:asciiTheme="majorHAnsi" w:hAnsiTheme="majorHAnsi"/>
          <w:color w:val="auto"/>
          <w:sz w:val="22"/>
          <w:szCs w:val="22"/>
        </w:rPr>
        <w:t xml:space="preserve">akona, </w:t>
      </w:r>
      <w:r w:rsidRPr="00D13B59">
        <w:rPr>
          <w:rFonts w:asciiTheme="majorHAnsi" w:hAnsiTheme="majorHAnsi"/>
          <w:color w:val="auto"/>
          <w:sz w:val="22"/>
          <w:szCs w:val="22"/>
        </w:rPr>
        <w:t xml:space="preserve"> uređuje osnivač dječjeg vrtića svojim aktom.</w:t>
      </w:r>
      <w:r w:rsidR="006C0A57" w:rsidRPr="00D13B59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310F33" w:rsidRPr="00D13B59" w:rsidRDefault="00310F33" w:rsidP="00707D63">
      <w:p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310F33" w:rsidRPr="00D13B59" w:rsidRDefault="00310F33" w:rsidP="00707D63">
      <w:pPr>
        <w:pStyle w:val="NoSpacing"/>
        <w:spacing w:line="276" w:lineRule="auto"/>
        <w:jc w:val="both"/>
        <w:rPr>
          <w:rFonts w:asciiTheme="majorHAnsi" w:hAnsiTheme="majorHAnsi"/>
          <w:i/>
          <w:iCs/>
          <w:u w:val="single"/>
        </w:rPr>
      </w:pPr>
      <w:r w:rsidRPr="00D13B59">
        <w:rPr>
          <w:rFonts w:asciiTheme="majorHAnsi" w:hAnsiTheme="majorHAnsi"/>
          <w:i/>
          <w:iCs/>
          <w:u w:val="single"/>
        </w:rPr>
        <w:t>Financijska sredstva potrebna za provedbu ovog akta</w:t>
      </w:r>
    </w:p>
    <w:p w:rsidR="00897CF4" w:rsidRPr="00D13B59" w:rsidRDefault="00897CF4" w:rsidP="00707D63">
      <w:pPr>
        <w:pStyle w:val="NoSpacing"/>
        <w:spacing w:line="276" w:lineRule="auto"/>
        <w:jc w:val="both"/>
        <w:rPr>
          <w:rFonts w:asciiTheme="majorHAnsi" w:hAnsiTheme="majorHAnsi"/>
          <w:i/>
          <w:iCs/>
          <w:u w:val="single"/>
        </w:rPr>
      </w:pPr>
    </w:p>
    <w:p w:rsidR="00897CF4" w:rsidRPr="00D13B59" w:rsidRDefault="003C1C37" w:rsidP="00D13B59">
      <w:pPr>
        <w:pStyle w:val="NoSpacing"/>
        <w:spacing w:line="276" w:lineRule="auto"/>
        <w:ind w:firstLine="708"/>
        <w:jc w:val="both"/>
        <w:rPr>
          <w:rFonts w:asciiTheme="majorHAnsi" w:hAnsiTheme="majorHAnsi"/>
          <w:iCs/>
        </w:rPr>
      </w:pPr>
      <w:r w:rsidRPr="00D13B59">
        <w:rPr>
          <w:rFonts w:asciiTheme="majorHAnsi" w:hAnsiTheme="majorHAnsi"/>
          <w:iCs/>
        </w:rPr>
        <w:t>Za provođenje predložene Odluke nije potrebno planirati sredstva u proračunu Grada Gospića.</w:t>
      </w:r>
    </w:p>
    <w:p w:rsidR="005F3773" w:rsidRPr="00D13B59" w:rsidRDefault="005F3773" w:rsidP="00707D63">
      <w:pPr>
        <w:pStyle w:val="NoSpacing"/>
        <w:spacing w:line="276" w:lineRule="auto"/>
        <w:jc w:val="both"/>
        <w:rPr>
          <w:rFonts w:asciiTheme="majorHAnsi" w:hAnsiTheme="majorHAnsi"/>
          <w:iCs/>
        </w:rPr>
      </w:pPr>
    </w:p>
    <w:p w:rsidR="005F3773" w:rsidRPr="00D13B59" w:rsidRDefault="005F3773" w:rsidP="00D13B59">
      <w:pPr>
        <w:pStyle w:val="NoSpacing"/>
        <w:spacing w:line="276" w:lineRule="auto"/>
        <w:ind w:firstLine="708"/>
        <w:jc w:val="both"/>
        <w:rPr>
          <w:rFonts w:asciiTheme="majorHAnsi" w:hAnsiTheme="majorHAnsi"/>
          <w:iCs/>
        </w:rPr>
      </w:pPr>
      <w:r w:rsidRPr="00D13B59">
        <w:rPr>
          <w:rFonts w:asciiTheme="majorHAnsi" w:hAnsiTheme="majorHAnsi"/>
          <w:iCs/>
        </w:rPr>
        <w:t xml:space="preserve">Slijedom svega navedenog </w:t>
      </w:r>
      <w:r w:rsidR="00D13B59" w:rsidRPr="00D13B59">
        <w:rPr>
          <w:rFonts w:asciiTheme="majorHAnsi" w:hAnsiTheme="majorHAnsi"/>
          <w:iCs/>
        </w:rPr>
        <w:t xml:space="preserve">predlaže se </w:t>
      </w:r>
      <w:r w:rsidR="00D13B59" w:rsidRPr="00D13B59">
        <w:rPr>
          <w:rFonts w:asciiTheme="majorHAnsi" w:hAnsiTheme="majorHAnsi" w:cs="Calibri"/>
          <w:iCs/>
          <w:lang w:val="pt-BR"/>
        </w:rPr>
        <w:t>Gradskom vijeću Grada Gospića donošenje</w:t>
      </w:r>
      <w:r w:rsidRPr="00D13B59">
        <w:rPr>
          <w:rFonts w:asciiTheme="majorHAnsi" w:hAnsiTheme="majorHAnsi"/>
          <w:iCs/>
        </w:rPr>
        <w:t xml:space="preserve"> </w:t>
      </w:r>
      <w:r w:rsidRPr="00D13B59">
        <w:rPr>
          <w:rFonts w:asciiTheme="majorHAnsi" w:hAnsiTheme="majorHAnsi" w:cs="Calibri"/>
          <w:i/>
          <w:iCs/>
          <w:lang w:val="pt-BR"/>
        </w:rPr>
        <w:t>Odluk</w:t>
      </w:r>
      <w:r w:rsidR="00D13B59" w:rsidRPr="00D13B59">
        <w:rPr>
          <w:rFonts w:asciiTheme="majorHAnsi" w:hAnsiTheme="majorHAnsi" w:cs="Calibri"/>
          <w:i/>
          <w:iCs/>
          <w:lang w:val="pt-BR"/>
        </w:rPr>
        <w:t>e</w:t>
      </w:r>
      <w:r w:rsidRPr="00D13B59">
        <w:rPr>
          <w:rFonts w:asciiTheme="majorHAnsi" w:hAnsiTheme="majorHAnsi" w:cs="Calibri"/>
          <w:i/>
          <w:iCs/>
          <w:lang w:val="pt-BR"/>
        </w:rPr>
        <w:t xml:space="preserve"> o načinu ostvarivanja prednosti pri upisu djece u Dječji vrtić Pahuljic</w:t>
      </w:r>
      <w:r w:rsidR="00D13B59" w:rsidRPr="00D13B59">
        <w:rPr>
          <w:rFonts w:asciiTheme="majorHAnsi" w:hAnsiTheme="majorHAnsi" w:cs="Calibri"/>
          <w:i/>
          <w:iCs/>
          <w:lang w:val="pt-BR"/>
        </w:rPr>
        <w:t>a</w:t>
      </w:r>
      <w:r w:rsidRPr="00D13B59">
        <w:rPr>
          <w:rFonts w:asciiTheme="majorHAnsi" w:hAnsiTheme="majorHAnsi" w:cs="Calibri"/>
          <w:iCs/>
          <w:lang w:val="pt-BR"/>
        </w:rPr>
        <w:t>.</w:t>
      </w:r>
      <w:r w:rsidRPr="00D13B59">
        <w:rPr>
          <w:rFonts w:asciiTheme="majorHAnsi" w:hAnsiTheme="majorHAnsi" w:cs="Calibri"/>
          <w:i/>
          <w:iCs/>
          <w:lang w:val="pt-BR"/>
        </w:rPr>
        <w:t xml:space="preserve"> </w:t>
      </w:r>
    </w:p>
    <w:p w:rsidR="00707D63" w:rsidRPr="00D13B59" w:rsidRDefault="00707D63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A378A0" w:rsidRPr="00D13B59" w:rsidRDefault="00A378A0" w:rsidP="00D13B59">
      <w:pPr>
        <w:spacing w:line="276" w:lineRule="auto"/>
        <w:ind w:firstLine="708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D13B59">
        <w:rPr>
          <w:rFonts w:asciiTheme="majorHAnsi" w:hAnsiTheme="majorHAnsi" w:cs="Arial"/>
          <w:color w:val="auto"/>
          <w:sz w:val="22"/>
          <w:szCs w:val="22"/>
        </w:rPr>
        <w:t xml:space="preserve">S poštovanjem, </w:t>
      </w:r>
    </w:p>
    <w:p w:rsidR="00A378A0" w:rsidRPr="00D13B59" w:rsidRDefault="00A378A0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A0DAC" w:rsidRDefault="00DA0DAC" w:rsidP="00DA0DAC">
      <w:pPr>
        <w:spacing w:line="276" w:lineRule="auto"/>
        <w:jc w:val="right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D13B59" w:rsidRDefault="00DA0DAC" w:rsidP="00DA0DAC">
      <w:pPr>
        <w:spacing w:line="276" w:lineRule="auto"/>
        <w:jc w:val="right"/>
        <w:rPr>
          <w:rFonts w:asciiTheme="majorHAnsi" w:hAnsiTheme="majorHAnsi" w:cs="Arial"/>
          <w:color w:val="auto"/>
          <w:sz w:val="22"/>
          <w:szCs w:val="22"/>
        </w:rPr>
      </w:pPr>
      <w:r w:rsidRPr="00DA0DAC">
        <w:rPr>
          <w:rFonts w:asciiTheme="majorHAnsi" w:hAnsiTheme="majorHAnsi" w:cs="Arial"/>
          <w:color w:val="auto"/>
          <w:sz w:val="22"/>
          <w:szCs w:val="22"/>
        </w:rPr>
        <w:drawing>
          <wp:inline distT="0" distB="0" distL="0" distR="0" wp14:anchorId="46E02B47" wp14:editId="2CE1E329">
            <wp:extent cx="2944023" cy="1687286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9432" cy="169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63" w:rsidRPr="00D13B59" w:rsidRDefault="00707D63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707D63" w:rsidRPr="00D13B59" w:rsidRDefault="00707D63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707D63" w:rsidRPr="00D13B59" w:rsidRDefault="00707D63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707D63" w:rsidRPr="00D13B59" w:rsidRDefault="00707D63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707D63" w:rsidRPr="00D13B59" w:rsidRDefault="00707D63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707D63" w:rsidRPr="00A378A0" w:rsidRDefault="00707D63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707D63" w:rsidRDefault="00707D63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  <w:bookmarkStart w:id="0" w:name="_GoBack"/>
      <w:bookmarkEnd w:id="0"/>
    </w:p>
    <w:p w:rsidR="004810FE" w:rsidRDefault="004810FE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D13B59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D13B59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A77EA0" w:rsidRDefault="00A77EA0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D13B59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D13B59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6B2202">
        <w:rPr>
          <w:rFonts w:asciiTheme="majorHAnsi" w:hAnsiTheme="majorHAnsi" w:cs="Arial"/>
          <w:color w:val="auto"/>
          <w:sz w:val="22"/>
          <w:szCs w:val="22"/>
        </w:rPr>
        <w:t>Temeljem članka 20. Zakona o predškolskom odgoju i obrazovanju („Narodne novine“ br. 10/97, 107/07,94/13, 98/19, 57/22) i članka 33. Statuta Grada Gospića („Službeni vjesnik Grada Gospića“ br. 7/09, 5/10, 7/10, 1/12, 2/13, 3/13 - pročišćeni tekst, 7/15, 1/18, 3/20, 1/21) Gradsko vijeće Grada Gospića na sjednici održanoj dana ________________2023. godine,  donijelo je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color w:val="FF0000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pStyle w:val="NoSpacing"/>
        <w:spacing w:line="276" w:lineRule="auto"/>
        <w:jc w:val="center"/>
        <w:rPr>
          <w:rFonts w:asciiTheme="majorHAnsi" w:hAnsiTheme="majorHAnsi"/>
          <w:b/>
        </w:rPr>
      </w:pPr>
      <w:r w:rsidRPr="006B2202">
        <w:rPr>
          <w:rFonts w:asciiTheme="majorHAnsi" w:hAnsiTheme="majorHAnsi"/>
          <w:b/>
        </w:rPr>
        <w:t>ODLUKU</w:t>
      </w:r>
    </w:p>
    <w:p w:rsidR="00254DA2" w:rsidRPr="006B2202" w:rsidRDefault="00254DA2" w:rsidP="00254DA2">
      <w:pPr>
        <w:pStyle w:val="NoSpacing"/>
        <w:spacing w:line="276" w:lineRule="auto"/>
        <w:jc w:val="center"/>
        <w:rPr>
          <w:rFonts w:asciiTheme="majorHAnsi" w:hAnsiTheme="majorHAnsi" w:cs="Times New Roman"/>
          <w:b/>
        </w:rPr>
      </w:pPr>
      <w:r w:rsidRPr="006B2202">
        <w:rPr>
          <w:rFonts w:asciiTheme="majorHAnsi" w:hAnsiTheme="majorHAnsi"/>
          <w:b/>
        </w:rPr>
        <w:t xml:space="preserve"> </w:t>
      </w:r>
      <w:r w:rsidRPr="006B2202">
        <w:rPr>
          <w:rFonts w:asciiTheme="majorHAnsi" w:hAnsiTheme="majorHAnsi" w:cs="Times New Roman"/>
          <w:b/>
        </w:rPr>
        <w:t xml:space="preserve">o načinu ostvarivanja prednosti pri upisu djece u Dječji vrtić Pahuljica 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l. Opće odredbe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1.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Ovom Odlukom utvrđuje se način ostvarivanja prednosti pri upisu djece u Dječji vrtić Pahuljica (u daljnjem tekstu: Vrtić), čiji je osnivač Grad Gospić.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2.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Riječi i pojmovi koji imaju rodno značenje korišteni u ovoj Odluci odnose se jednako na muški i ženski rod bez obzira jesu li korišteni u muškom ili ženskom rodu.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II. Utvrđivanje prednosti pri upisu djece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3.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Svako dijete rane i predškolske dobi ima pravo upisa u dječji vrtić u kojem se izvodi rani i predškolski odgoj i obrazovanje.</w:t>
      </w: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 xml:space="preserve">U Vrtić se mogu upisati djeca od navršenih godinu dana do polaska u osnovnu školu. 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Za dijete koje je obvezno pohađati predškolu Grad Gospić  osigurat će  mjesto u dječjem vrtiću ili osnovnoj školi koja provodi obvezni program predškole.</w:t>
      </w:r>
    </w:p>
    <w:p w:rsidR="00254DA2" w:rsidRPr="006B2202" w:rsidRDefault="00254DA2" w:rsidP="006B22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4.</w:t>
      </w: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Prednost pri upisu u Vrtić za iduću pedagošku godinu imaju djeca koja do 1. travnja tekuće godine navrše četiri godine života.</w:t>
      </w:r>
    </w:p>
    <w:p w:rsidR="00254DA2" w:rsidRPr="006B2202" w:rsidRDefault="00254DA2" w:rsidP="00254DA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Ukoliko se sva prijavljena djeca ne mogu upisati u Vrtić, primjenjivat će se  zakonski kriteriji i redoslijed za ostvarivanje prednosti  pri upisu primjenom modela bodovanja, kako slijedi: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59"/>
        <w:gridCol w:w="2107"/>
      </w:tblGrid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B2202">
              <w:rPr>
                <w:rStyle w:val="fontstyle01"/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Kriterij i za ostvarivanje prednosti pri upisu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B2202">
              <w:rPr>
                <w:rFonts w:asciiTheme="majorHAnsi" w:hAnsiTheme="majorHAnsi"/>
                <w:b/>
              </w:rPr>
              <w:t>Bodovi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koja imaju prebivalište na području dječjeg vrtića</w:t>
            </w:r>
          </w:p>
          <w:p w:rsidR="00254DA2" w:rsidRPr="006B2202" w:rsidRDefault="00254DA2">
            <w:pPr>
              <w:pStyle w:val="ListParagraph"/>
              <w:widowControl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after="113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60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oba zaposlena roditelja/skrbnika</w:t>
            </w:r>
          </w:p>
          <w:p w:rsidR="00254DA2" w:rsidRPr="006B2202" w:rsidRDefault="00254DA2">
            <w:pPr>
              <w:pStyle w:val="ListParagraph"/>
              <w:widowControl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after="113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55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invalida Domovinskog rata</w:t>
            </w:r>
          </w:p>
          <w:p w:rsidR="00254DA2" w:rsidRPr="006B2202" w:rsidRDefault="00254DA2">
            <w:pPr>
              <w:pStyle w:val="ListParagraph"/>
              <w:widowControl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after="113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50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after="113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45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254DA2" w:rsidRPr="006B2202" w:rsidRDefault="00254DA2" w:rsidP="00254DA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samohranih roditelja/skrbnika</w:t>
            </w:r>
          </w:p>
          <w:p w:rsidR="00254DA2" w:rsidRPr="006B2202" w:rsidRDefault="00254DA2">
            <w:pPr>
              <w:pStyle w:val="ListParagraph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40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jednoroditeljskih obitelji</w:t>
            </w:r>
          </w:p>
          <w:p w:rsidR="00254DA2" w:rsidRPr="006B2202" w:rsidRDefault="00254DA2">
            <w:pPr>
              <w:pStyle w:val="ListParagraph"/>
              <w:widowControl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35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djeca iz obitelji s troje ili više djece 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30 i za svako sljedeće dijete po 10 bodova</w:t>
            </w:r>
          </w:p>
          <w:p w:rsidR="00254DA2" w:rsidRPr="006B2202" w:rsidRDefault="00254DA2">
            <w:pPr>
              <w:pStyle w:val="ListParagraph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djeca koja su ostvarila pravo na socijalnu uslugu smještaja u udomiteljskim obiteljima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25</w:t>
            </w:r>
          </w:p>
          <w:p w:rsidR="00254DA2" w:rsidRPr="006B2202" w:rsidRDefault="00254DA2">
            <w:pPr>
              <w:pStyle w:val="ListParagraph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osoba s invaliditetom upisanih u Hrvatski registar osoba s invaliditetom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20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djeca roditelja/skrbnika koji primaju doplatak za djecu ili roditelja  korisnika zajamčene minimalne naknade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15</w:t>
            </w:r>
          </w:p>
        </w:tc>
      </w:tr>
      <w:tr w:rsidR="006B220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color w:val="auto"/>
                <w:sz w:val="22"/>
                <w:szCs w:val="22"/>
                <w:lang w:eastAsia="en-US"/>
              </w:rPr>
              <w:t xml:space="preserve">djeca koja imaju boravište na području dječjeg vrtića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</w:tbl>
    <w:p w:rsidR="00254DA2" w:rsidRPr="006B2202" w:rsidRDefault="00254DA2" w:rsidP="006B2202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5.</w:t>
      </w: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 xml:space="preserve">Roditelj/skrbnik je dužan prilikom podnošenja prijave za upis priložiti dokumentaciju i dokaze o činjenicama bitnim za ostvarivanje prednosti pri upisu kako slijedi: </w:t>
      </w:r>
    </w:p>
    <w:p w:rsidR="00254DA2" w:rsidRPr="006B2202" w:rsidRDefault="00254DA2" w:rsidP="00254DA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OSTVARIVANJE BODOVANJA PREDNOSTI PRI UPISU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DOKAZI ZA OSTVARIVANJE BODOVANJA PREDNOSTI PRI UPISU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3"/>
              </w:numPr>
              <w:spacing w:before="100" w:before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koja imaju prebivalište na području dječjeg vrtića</w:t>
            </w:r>
          </w:p>
          <w:p w:rsidR="00254DA2" w:rsidRPr="006B2202" w:rsidRDefault="00254DA2">
            <w:pPr>
              <w:pStyle w:val="ListParagraph"/>
              <w:widowControl/>
              <w:spacing w:before="100" w:before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 xml:space="preserve">        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before="100" w:before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potvrda o prebivalištu nadležne institucije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4"/>
              </w:numPr>
              <w:spacing w:before="100" w:beforeAutospacing="1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 xml:space="preserve">djeca oba zaposlena roditelja/skrbnika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4"/>
              </w:numPr>
              <w:spacing w:before="100" w:before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potvrda o radnom statusu oba roditelja/skrbnika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invalida Domovinskog rata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before="100" w:before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Rješenje o statusu invalida 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samohranih roditelja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potvrda poslodavca o zaposlenju samohranog roditelja</w:t>
            </w:r>
          </w:p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dokaz o samohranosti: </w:t>
            </w:r>
          </w:p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rodni list djeteta, </w:t>
            </w:r>
          </w:p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smrtni list preminulog roditelja ili  potvrda o nestanku drugog roditelj ili  rješenje Hrvatskog zavoda za socijalni rad o privremenom uzdržavanju djeteta  (kad je roditelj lišen poslovne sposobnosti, kad mu je oduzeto pravo na roditeljsku skrb, kad je na dugotrajnom liječenju, ili na dugotrajnom izdržavanju kazne),  </w:t>
            </w:r>
          </w:p>
          <w:p w:rsidR="00254DA2" w:rsidRPr="006B2202" w:rsidRDefault="00254DA2">
            <w:pPr>
              <w:pStyle w:val="ListParagraph"/>
              <w:widowControl/>
              <w:spacing w:line="276" w:lineRule="auto"/>
              <w:ind w:left="1080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potpisanu Izjavu roditelja/skrbnika da samostalno, isključivo od vlastitih,  prihoda skrbi o djetetu bez pomoći drugog roditelja/skrbnika te da ne prima alimentaciju.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9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djeca jednoroditeljskih obitelji 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pravomoćna presuda o razvodu braka, preslika 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9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iz obitelji s troje ili više djece</w:t>
            </w:r>
          </w:p>
          <w:p w:rsidR="00254DA2" w:rsidRPr="006B2202" w:rsidRDefault="00254DA2">
            <w:pPr>
              <w:widowControl/>
              <w:spacing w:before="100" w:beforeAutospacing="1" w:after="100" w:afterAutospacing="1"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Izjava o broju članova kućanstva ili podaci iz zahtjeva iz e- upisa</w:t>
            </w:r>
          </w:p>
          <w:p w:rsidR="00254DA2" w:rsidRPr="006B2202" w:rsidRDefault="00254DA2" w:rsidP="00254DA2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Za osobe koje nisu roditelji/skrbnici a upisani su u članove kućanstva presliku osobne iskaznice 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koja su ostvarila pravo na socijalnu uslugu smještaja u udomiteljskim obiteljima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rješenje odnosno potvrda Hrvatskog zavoda za socijalni rad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osoba s invaliditetom upisanih u Hrvatski registar  osoba s invaliditetom</w:t>
            </w: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32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preslika iz Hrvatskog registara  osoba s invaliditetom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djeca roditelja koji primaju doplatak za djecu ili roditelja korisnika zajamčene minimalne naknade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33"/>
              </w:numPr>
              <w:spacing w:before="100" w:before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shd w:val="clear" w:color="auto" w:fill="FFFFFF"/>
                <w:lang w:eastAsia="en-US"/>
              </w:rPr>
              <w:t>presliku rješenja nadležne ustanove</w:t>
            </w: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6B220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color w:val="auto"/>
                <w:sz w:val="22"/>
                <w:szCs w:val="22"/>
                <w:lang w:eastAsia="en-US"/>
              </w:rPr>
              <w:t>djeca koja imaju boravište na području dječjeg vrtića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ListParagraph"/>
              <w:widowControl/>
              <w:numPr>
                <w:ilvl w:val="0"/>
                <w:numId w:val="33"/>
              </w:numPr>
              <w:spacing w:before="100" w:beforeAutospacing="1" w:line="276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6B2202"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  <w:lang w:eastAsia="en-US"/>
              </w:rPr>
              <w:t>potvrda o boravištu nadležne institucije</w:t>
            </w:r>
          </w:p>
        </w:tc>
      </w:tr>
      <w:tr w:rsidR="006B220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254DA2" w:rsidRPr="006B2202" w:rsidRDefault="00254DA2" w:rsidP="00254DA2">
      <w:p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6.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 xml:space="preserve">Roditelji/skrbnici koji se pozivaju na neki od kriterija za ostvarivanje prednosti, prijavi za upis dužni su priložiti dokumentaciju kako je navedeno u tablici iz članka 5. ove Odluke. </w:t>
      </w: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Za točnost podataka iz prethodnog stavka ovog članka odgovorne su osobe koje su izdale dokumente, odnosno podnositelj prijava. U slučaju osnovane sumnje u točnost podataka iz priloženih dokumenata Povjerenstvo koje obavlja upis može obaviti provjeru.</w:t>
      </w: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Podnositelji prijava koji nisu priložili odgovarajuće dokaze ne mogu se pozivati na prednost pri upisu.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7.</w:t>
      </w: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Bodovi utvrđeni po kriterijima iz članka 4.  ove Odluke zbrajaju se i na temelju ukupnog broja bodova utvrđuje se lista prvenstva na koju se redom stavljaju prijave podnositelja od većeg broja bodova do najmanjeg.</w:t>
      </w:r>
    </w:p>
    <w:p w:rsidR="00254DA2" w:rsidRPr="006B2202" w:rsidRDefault="00254DA2" w:rsidP="00254DA2">
      <w:pPr>
        <w:spacing w:before="100" w:beforeAutospacing="1" w:after="100" w:afterAutospacing="1"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6B2202">
        <w:rPr>
          <w:rFonts w:asciiTheme="majorHAnsi" w:hAnsiTheme="majorHAnsi"/>
          <w:sz w:val="22"/>
          <w:szCs w:val="22"/>
        </w:rPr>
        <w:t>Ukoliko roditelji/skrbnici ostvare isti broj bodova prednost pri upisu ostvaruju roditelji/skrbnici koji po broju članova kućanstva ostvaruju niži prihod.</w:t>
      </w:r>
    </w:p>
    <w:p w:rsidR="00254DA2" w:rsidRPr="006B2202" w:rsidRDefault="00254DA2" w:rsidP="00254DA2">
      <w:pPr>
        <w:spacing w:before="100" w:beforeAutospacing="1" w:after="100" w:afterAutospacing="1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6B2202">
        <w:rPr>
          <w:rFonts w:asciiTheme="majorHAnsi" w:hAnsiTheme="majorHAnsi"/>
          <w:b/>
          <w:sz w:val="22"/>
          <w:szCs w:val="22"/>
        </w:rPr>
        <w:t>Članak 8.</w:t>
      </w:r>
    </w:p>
    <w:p w:rsidR="00254DA2" w:rsidRPr="006B2202" w:rsidRDefault="00254DA2" w:rsidP="00254DA2">
      <w:pPr>
        <w:spacing w:before="100" w:beforeAutospacing="1" w:after="100" w:afterAutospacing="1"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6B2202">
        <w:rPr>
          <w:rFonts w:asciiTheme="majorHAnsi" w:hAnsiTheme="majorHAnsi"/>
          <w:sz w:val="22"/>
          <w:szCs w:val="22"/>
        </w:rPr>
        <w:t xml:space="preserve">Ako se sva prijavljena djeca </w:t>
      </w:r>
      <w:r w:rsidRPr="006B2202">
        <w:rPr>
          <w:rFonts w:asciiTheme="majorHAnsi" w:hAnsiTheme="majorHAnsi"/>
          <w:b/>
          <w:sz w:val="22"/>
          <w:szCs w:val="22"/>
        </w:rPr>
        <w:t xml:space="preserve">mogu </w:t>
      </w:r>
      <w:r w:rsidRPr="006B2202">
        <w:rPr>
          <w:rFonts w:asciiTheme="majorHAnsi" w:hAnsiTheme="majorHAnsi"/>
          <w:sz w:val="22"/>
          <w:szCs w:val="22"/>
        </w:rPr>
        <w:t xml:space="preserve">upisati u Vrtić, </w:t>
      </w:r>
      <w:r w:rsidRPr="006B2202">
        <w:rPr>
          <w:rFonts w:asciiTheme="majorHAnsi" w:hAnsiTheme="majorHAnsi"/>
          <w:b/>
          <w:sz w:val="22"/>
          <w:szCs w:val="22"/>
        </w:rPr>
        <w:t>neće se</w:t>
      </w:r>
      <w:r w:rsidRPr="006B2202">
        <w:rPr>
          <w:rFonts w:asciiTheme="majorHAnsi" w:hAnsiTheme="majorHAnsi"/>
          <w:sz w:val="22"/>
          <w:szCs w:val="22"/>
        </w:rPr>
        <w:t xml:space="preserve"> primjenjivati kriterij ostvarivanje prednosti. </w:t>
      </w:r>
    </w:p>
    <w:p w:rsidR="00254DA2" w:rsidRPr="006B2202" w:rsidRDefault="00254DA2" w:rsidP="00254DA2">
      <w:pPr>
        <w:spacing w:before="100" w:beforeAutospacing="1" w:after="100" w:afterAutospacing="1"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6B2202">
        <w:rPr>
          <w:rFonts w:asciiTheme="majorHAnsi" w:hAnsiTheme="majorHAnsi"/>
          <w:sz w:val="22"/>
          <w:szCs w:val="22"/>
        </w:rPr>
        <w:t xml:space="preserve">Smještaj djece koja imaju prebivalište ili boravište izvan područja Vrtića u redoviti program moguć je ukoliko: </w:t>
      </w:r>
    </w:p>
    <w:p w:rsidR="00254DA2" w:rsidRPr="006B2202" w:rsidRDefault="00254DA2" w:rsidP="00254DA2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Theme="majorHAnsi" w:hAnsiTheme="majorHAnsi"/>
          <w:sz w:val="22"/>
          <w:szCs w:val="22"/>
        </w:rPr>
      </w:pPr>
      <w:r w:rsidRPr="006B2202">
        <w:rPr>
          <w:rFonts w:asciiTheme="majorHAnsi" w:hAnsiTheme="majorHAnsi"/>
          <w:sz w:val="22"/>
          <w:szCs w:val="22"/>
        </w:rPr>
        <w:t>ostane slobodnih mjesta nakon upisa djece koja imaju prebivalište ili boravište na području Vrtića</w:t>
      </w:r>
    </w:p>
    <w:p w:rsidR="00254DA2" w:rsidRPr="006B2202" w:rsidRDefault="00254DA2" w:rsidP="00254DA2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Theme="majorHAnsi" w:hAnsiTheme="majorHAnsi"/>
          <w:sz w:val="22"/>
          <w:szCs w:val="22"/>
        </w:rPr>
      </w:pPr>
      <w:r w:rsidRPr="006B2202">
        <w:rPr>
          <w:rFonts w:asciiTheme="majorHAnsi" w:hAnsiTheme="majorHAnsi"/>
          <w:sz w:val="22"/>
          <w:szCs w:val="22"/>
        </w:rPr>
        <w:t>jedinica lokalne samouprave na čijem području dijete ima prebivalište/boravište preuzme obvezu financiranja utvrđenu od osnivača Vrtića</w:t>
      </w:r>
    </w:p>
    <w:p w:rsidR="00254DA2" w:rsidRPr="006B2202" w:rsidRDefault="00254DA2" w:rsidP="006B2202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Theme="majorHAnsi" w:hAnsiTheme="majorHAnsi"/>
          <w:sz w:val="22"/>
          <w:szCs w:val="22"/>
        </w:rPr>
      </w:pPr>
      <w:r w:rsidRPr="006B2202">
        <w:rPr>
          <w:rFonts w:asciiTheme="majorHAnsi" w:hAnsiTheme="majorHAnsi"/>
          <w:sz w:val="22"/>
          <w:szCs w:val="22"/>
        </w:rPr>
        <w:t>roditelj/skrbnik u cijelosti snosi troškove smještaja djeteta (ekonomske cijene).</w:t>
      </w: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 xml:space="preserve">Članak 9. </w:t>
      </w: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6B2202" w:rsidRDefault="00254DA2" w:rsidP="006B2202">
      <w:pPr>
        <w:spacing w:line="276" w:lineRule="auto"/>
        <w:ind w:firstLine="708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6B2202">
        <w:rPr>
          <w:rFonts w:asciiTheme="majorHAnsi" w:hAnsiTheme="majorHAnsi" w:cs="Arial"/>
          <w:color w:val="auto"/>
          <w:sz w:val="22"/>
          <w:szCs w:val="22"/>
        </w:rPr>
        <w:t xml:space="preserve">Za djecu koja nisu primljena u Vrtić nakon e – upisa  </w:t>
      </w:r>
      <w:r w:rsidRPr="006B2202">
        <w:rPr>
          <w:rFonts w:asciiTheme="majorHAnsi" w:hAnsiTheme="majorHAnsi" w:cs="Arial"/>
          <w:b/>
          <w:color w:val="auto"/>
          <w:sz w:val="22"/>
          <w:szCs w:val="22"/>
          <w:u w:val="single"/>
        </w:rPr>
        <w:t>ne utvrđuje se</w:t>
      </w:r>
      <w:r w:rsidRPr="006B2202">
        <w:rPr>
          <w:rFonts w:asciiTheme="majorHAnsi" w:hAnsiTheme="majorHAnsi" w:cs="Arial"/>
          <w:color w:val="auto"/>
          <w:sz w:val="22"/>
          <w:szCs w:val="22"/>
        </w:rPr>
        <w:t xml:space="preserve"> lista čekanja te će se provesti  ponovljeni e- upisi ako se oslobodi odgovarajuće mjesto prema dobi djeteta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10.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Djeca koja se tijekom godine ispišu iz Vrtića, u novoj pedagoškoj godini nemaju nikakvu prednost pri upisu. Za njih će se utvrđivati broj bodova kao i za svu novoprimljenu djecu po kriterijima utvrđenom Odlukom.</w:t>
      </w:r>
    </w:p>
    <w:p w:rsidR="00254DA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6B2202" w:rsidRDefault="006B220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6B2202" w:rsidRPr="006B2202" w:rsidRDefault="006B220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III. Završne odredbe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11.</w:t>
      </w: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Mjerila i postupak upisa djece u Vrtić, organizacija prijema novoupisane djece, prava i obveze roditelja/skrbnika djece - korisnika usluga Vrtića te uvjeti pod kojim dijete može biti ispisano iz vrtića utvrđuje se Pravilnikom kojeg donosi Upravno vijeće Vrtića.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12.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Ova Odluka stupa na snagu dan nakon dana objave u „Službenom vjesniku Grada Gospića“.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 xml:space="preserve">PREDSJEDNICA GRADSKOG VIJEĆA </w:t>
      </w:r>
    </w:p>
    <w:p w:rsidR="00254DA2" w:rsidRDefault="00254DA2" w:rsidP="00254DA2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6B2202">
        <w:rPr>
          <w:rFonts w:asciiTheme="majorHAnsi" w:hAnsiTheme="majorHAnsi" w:cs="Arial"/>
          <w:sz w:val="22"/>
          <w:szCs w:val="22"/>
        </w:rPr>
        <w:t xml:space="preserve">     </w:t>
      </w:r>
      <w:r w:rsidRPr="006B2202">
        <w:rPr>
          <w:rFonts w:asciiTheme="majorHAnsi" w:hAnsiTheme="majorHAnsi" w:cs="Arial"/>
          <w:sz w:val="22"/>
          <w:szCs w:val="22"/>
        </w:rPr>
        <w:t xml:space="preserve">   GRADA GOSPIĆA</w:t>
      </w:r>
    </w:p>
    <w:p w:rsidR="006B2202" w:rsidRPr="006B2202" w:rsidRDefault="006B2202" w:rsidP="00254DA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rPr>
          <w:rFonts w:asciiTheme="majorHAnsi" w:hAnsiTheme="majorHAnsi" w:cs="Arial"/>
          <w:color w:val="FF0000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</w:t>
      </w:r>
      <w:r w:rsidR="006B2202">
        <w:rPr>
          <w:rFonts w:asciiTheme="majorHAnsi" w:hAnsiTheme="majorHAnsi" w:cs="Arial"/>
          <w:sz w:val="22"/>
          <w:szCs w:val="22"/>
        </w:rPr>
        <w:t xml:space="preserve">              </w:t>
      </w:r>
      <w:r w:rsidRPr="006B2202">
        <w:rPr>
          <w:rFonts w:asciiTheme="majorHAnsi" w:hAnsiTheme="majorHAnsi" w:cs="Arial"/>
          <w:sz w:val="22"/>
          <w:szCs w:val="22"/>
        </w:rPr>
        <w:t xml:space="preserve">  Ana – Marija Zdunić, mag.iur., v.r. 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sectPr w:rsidR="00D13B59" w:rsidRPr="006B2202" w:rsidSect="00D81234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B7" w:rsidRDefault="000023B7" w:rsidP="00D81234">
      <w:r>
        <w:separator/>
      </w:r>
    </w:p>
  </w:endnote>
  <w:endnote w:type="continuationSeparator" w:id="0">
    <w:p w:rsidR="000023B7" w:rsidRDefault="000023B7" w:rsidP="00D8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776665"/>
      <w:docPartObj>
        <w:docPartGallery w:val="Page Numbers (Bottom of Page)"/>
        <w:docPartUnique/>
      </w:docPartObj>
    </w:sdtPr>
    <w:sdtEndPr/>
    <w:sdtContent>
      <w:p w:rsidR="00D81234" w:rsidRDefault="00D812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DAC">
          <w:rPr>
            <w:noProof/>
          </w:rPr>
          <w:t>2</w:t>
        </w:r>
        <w:r>
          <w:fldChar w:fldCharType="end"/>
        </w:r>
      </w:p>
    </w:sdtContent>
  </w:sdt>
  <w:p w:rsidR="00D81234" w:rsidRDefault="00D81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B7" w:rsidRDefault="000023B7" w:rsidP="00D81234">
      <w:r>
        <w:separator/>
      </w:r>
    </w:p>
  </w:footnote>
  <w:footnote w:type="continuationSeparator" w:id="0">
    <w:p w:rsidR="000023B7" w:rsidRDefault="000023B7" w:rsidP="00D8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854"/>
    <w:multiLevelType w:val="hybridMultilevel"/>
    <w:tmpl w:val="06C622E0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000000" w:themeColor="text1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5571"/>
    <w:multiLevelType w:val="hybridMultilevel"/>
    <w:tmpl w:val="29645094"/>
    <w:lvl w:ilvl="0" w:tplc="E7765DCE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7701F"/>
    <w:multiLevelType w:val="hybridMultilevel"/>
    <w:tmpl w:val="3A842638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2CA6"/>
    <w:multiLevelType w:val="hybridMultilevel"/>
    <w:tmpl w:val="875076E0"/>
    <w:lvl w:ilvl="0" w:tplc="FD94C6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11BA6"/>
    <w:multiLevelType w:val="hybridMultilevel"/>
    <w:tmpl w:val="02BAF368"/>
    <w:lvl w:ilvl="0" w:tplc="E7765DCE"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50339"/>
    <w:multiLevelType w:val="hybridMultilevel"/>
    <w:tmpl w:val="918E63A4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37F13"/>
    <w:multiLevelType w:val="hybridMultilevel"/>
    <w:tmpl w:val="987C6F56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5BFA"/>
    <w:multiLevelType w:val="hybridMultilevel"/>
    <w:tmpl w:val="AFBC589C"/>
    <w:lvl w:ilvl="0" w:tplc="C8A284AE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074F2"/>
    <w:multiLevelType w:val="hybridMultilevel"/>
    <w:tmpl w:val="1C125870"/>
    <w:lvl w:ilvl="0" w:tplc="63B0EE6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7FC7"/>
    <w:multiLevelType w:val="hybridMultilevel"/>
    <w:tmpl w:val="A0C8C240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B0363"/>
    <w:multiLevelType w:val="hybridMultilevel"/>
    <w:tmpl w:val="3D427F8A"/>
    <w:lvl w:ilvl="0" w:tplc="84F666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2A708F"/>
    <w:multiLevelType w:val="hybridMultilevel"/>
    <w:tmpl w:val="DC8EC6BA"/>
    <w:lvl w:ilvl="0" w:tplc="E7765DCE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6061E1"/>
    <w:multiLevelType w:val="hybridMultilevel"/>
    <w:tmpl w:val="6D4A40CC"/>
    <w:lvl w:ilvl="0" w:tplc="E7765DCE">
      <w:numFmt w:val="bullet"/>
      <w:lvlText w:val="-"/>
      <w:lvlJc w:val="left"/>
      <w:pPr>
        <w:ind w:left="76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92A69A1"/>
    <w:multiLevelType w:val="hybridMultilevel"/>
    <w:tmpl w:val="15D27DBA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B0E6B"/>
    <w:multiLevelType w:val="hybridMultilevel"/>
    <w:tmpl w:val="A5A2B782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34C13"/>
    <w:multiLevelType w:val="hybridMultilevel"/>
    <w:tmpl w:val="4F422E04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906B6"/>
    <w:multiLevelType w:val="hybridMultilevel"/>
    <w:tmpl w:val="3B020E20"/>
    <w:lvl w:ilvl="0" w:tplc="E7765DCE">
      <w:numFmt w:val="bullet"/>
      <w:lvlText w:val="-"/>
      <w:lvlJc w:val="left"/>
      <w:pPr>
        <w:ind w:left="76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B5F5E35"/>
    <w:multiLevelType w:val="hybridMultilevel"/>
    <w:tmpl w:val="D5FA85B8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A6951"/>
    <w:multiLevelType w:val="hybridMultilevel"/>
    <w:tmpl w:val="2D7AF8D6"/>
    <w:lvl w:ilvl="0" w:tplc="E7765DCE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E20789"/>
    <w:multiLevelType w:val="hybridMultilevel"/>
    <w:tmpl w:val="75107A5A"/>
    <w:lvl w:ilvl="0" w:tplc="E7765DCE">
      <w:numFmt w:val="bullet"/>
      <w:lvlText w:val="-"/>
      <w:lvlJc w:val="left"/>
      <w:pPr>
        <w:ind w:left="76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FE07DD9"/>
    <w:multiLevelType w:val="hybridMultilevel"/>
    <w:tmpl w:val="E092BE7A"/>
    <w:lvl w:ilvl="0" w:tplc="A9686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7"/>
  </w:num>
  <w:num w:numId="9">
    <w:abstractNumId w:val="5"/>
  </w:num>
  <w:num w:numId="10">
    <w:abstractNumId w:val="14"/>
  </w:num>
  <w:num w:numId="11">
    <w:abstractNumId w:val="11"/>
  </w:num>
  <w:num w:numId="12">
    <w:abstractNumId w:val="18"/>
  </w:num>
  <w:num w:numId="13">
    <w:abstractNumId w:val="13"/>
  </w:num>
  <w:num w:numId="14">
    <w:abstractNumId w:val="15"/>
  </w:num>
  <w:num w:numId="15">
    <w:abstractNumId w:val="19"/>
  </w:num>
  <w:num w:numId="16">
    <w:abstractNumId w:val="12"/>
  </w:num>
  <w:num w:numId="17">
    <w:abstractNumId w:val="9"/>
  </w:num>
  <w:num w:numId="18">
    <w:abstractNumId w:val="16"/>
  </w:num>
  <w:num w:numId="19">
    <w:abstractNumId w:val="3"/>
  </w:num>
  <w:num w:numId="20">
    <w:abstractNumId w:val="8"/>
  </w:num>
  <w:num w:numId="21">
    <w:abstractNumId w:val="10"/>
  </w:num>
  <w:num w:numId="22">
    <w:abstractNumId w:val="20"/>
  </w:num>
  <w:num w:numId="23">
    <w:abstractNumId w:val="9"/>
  </w:num>
  <w:num w:numId="24">
    <w:abstractNumId w:val="2"/>
  </w:num>
  <w:num w:numId="25">
    <w:abstractNumId w:val="5"/>
  </w:num>
  <w:num w:numId="26">
    <w:abstractNumId w:val="14"/>
  </w:num>
  <w:num w:numId="27">
    <w:abstractNumId w:val="18"/>
  </w:num>
  <w:num w:numId="28">
    <w:abstractNumId w:val="3"/>
  </w:num>
  <w:num w:numId="29">
    <w:abstractNumId w:val="13"/>
  </w:num>
  <w:num w:numId="30">
    <w:abstractNumId w:val="15"/>
  </w:num>
  <w:num w:numId="31">
    <w:abstractNumId w:val="19"/>
  </w:num>
  <w:num w:numId="32">
    <w:abstractNumId w:val="12"/>
  </w:num>
  <w:num w:numId="33">
    <w:abstractNumId w:val="1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33"/>
    <w:rsid w:val="000023B7"/>
    <w:rsid w:val="0004548E"/>
    <w:rsid w:val="000547D8"/>
    <w:rsid w:val="000B63FB"/>
    <w:rsid w:val="00123928"/>
    <w:rsid w:val="001712AF"/>
    <w:rsid w:val="0020389D"/>
    <w:rsid w:val="0021730F"/>
    <w:rsid w:val="00254DA2"/>
    <w:rsid w:val="00257EDB"/>
    <w:rsid w:val="00275B10"/>
    <w:rsid w:val="00310F33"/>
    <w:rsid w:val="003A34C9"/>
    <w:rsid w:val="003C1C37"/>
    <w:rsid w:val="00406908"/>
    <w:rsid w:val="004810FE"/>
    <w:rsid w:val="004922F9"/>
    <w:rsid w:val="00554A3F"/>
    <w:rsid w:val="005576DE"/>
    <w:rsid w:val="005A7C4F"/>
    <w:rsid w:val="005E436D"/>
    <w:rsid w:val="005F3773"/>
    <w:rsid w:val="006416A8"/>
    <w:rsid w:val="00644952"/>
    <w:rsid w:val="00664D4A"/>
    <w:rsid w:val="006B2202"/>
    <w:rsid w:val="006C0A57"/>
    <w:rsid w:val="006C5875"/>
    <w:rsid w:val="006E6105"/>
    <w:rsid w:val="00707D63"/>
    <w:rsid w:val="00735C23"/>
    <w:rsid w:val="007453E2"/>
    <w:rsid w:val="0075370A"/>
    <w:rsid w:val="00761CEB"/>
    <w:rsid w:val="007C3B62"/>
    <w:rsid w:val="00803398"/>
    <w:rsid w:val="00820416"/>
    <w:rsid w:val="00897CF4"/>
    <w:rsid w:val="00912A43"/>
    <w:rsid w:val="00A322CD"/>
    <w:rsid w:val="00A378A0"/>
    <w:rsid w:val="00A43DE3"/>
    <w:rsid w:val="00A60ADC"/>
    <w:rsid w:val="00A672C8"/>
    <w:rsid w:val="00A77EA0"/>
    <w:rsid w:val="00AD700F"/>
    <w:rsid w:val="00B32575"/>
    <w:rsid w:val="00B638C2"/>
    <w:rsid w:val="00BB7D65"/>
    <w:rsid w:val="00BE56C0"/>
    <w:rsid w:val="00BF27AE"/>
    <w:rsid w:val="00C34A4E"/>
    <w:rsid w:val="00C610C1"/>
    <w:rsid w:val="00C77092"/>
    <w:rsid w:val="00CC3A5A"/>
    <w:rsid w:val="00CC6FBE"/>
    <w:rsid w:val="00CD32FF"/>
    <w:rsid w:val="00D13B59"/>
    <w:rsid w:val="00D80E26"/>
    <w:rsid w:val="00D81234"/>
    <w:rsid w:val="00DA0DAC"/>
    <w:rsid w:val="00DD2881"/>
    <w:rsid w:val="00DD640C"/>
    <w:rsid w:val="00E6678D"/>
    <w:rsid w:val="00ED5FD2"/>
    <w:rsid w:val="00F33FFB"/>
    <w:rsid w:val="00F65245"/>
    <w:rsid w:val="00FA67DA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F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F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33"/>
    <w:rPr>
      <w:rFonts w:ascii="Tahoma" w:eastAsia="Arial Unicode MS" w:hAnsi="Tahoma" w:cs="Tahoma"/>
      <w:color w:val="000000"/>
      <w:sz w:val="16"/>
      <w:szCs w:val="16"/>
      <w:lang w:eastAsia="hr-HR" w:bidi="hr-HR"/>
    </w:rPr>
  </w:style>
  <w:style w:type="character" w:customStyle="1" w:styleId="fontstyle01">
    <w:name w:val="fontstyle01"/>
    <w:rsid w:val="00897C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97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7C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x471270">
    <w:name w:val="box_471270"/>
    <w:basedOn w:val="Normal"/>
    <w:rsid w:val="00707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812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34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812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34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F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F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33"/>
    <w:rPr>
      <w:rFonts w:ascii="Tahoma" w:eastAsia="Arial Unicode MS" w:hAnsi="Tahoma" w:cs="Tahoma"/>
      <w:color w:val="000000"/>
      <w:sz w:val="16"/>
      <w:szCs w:val="16"/>
      <w:lang w:eastAsia="hr-HR" w:bidi="hr-HR"/>
    </w:rPr>
  </w:style>
  <w:style w:type="character" w:customStyle="1" w:styleId="fontstyle01">
    <w:name w:val="fontstyle01"/>
    <w:rsid w:val="00897C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97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7C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x471270">
    <w:name w:val="box_471270"/>
    <w:basedOn w:val="Normal"/>
    <w:rsid w:val="00707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812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34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812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34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4C98-6C8F-471D-AF02-A31C76DD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2</cp:revision>
  <cp:lastPrinted>2023-06-01T10:58:00Z</cp:lastPrinted>
  <dcterms:created xsi:type="dcterms:W3CDTF">2023-06-05T06:52:00Z</dcterms:created>
  <dcterms:modified xsi:type="dcterms:W3CDTF">2023-06-05T06:52:00Z</dcterms:modified>
</cp:coreProperties>
</file>